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193"/>
      <w:bookmarkStart w:id="2" w:name="_Toc15396597"/>
      <w:bookmarkStart w:id="3" w:name="_Toc15396475"/>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6" w:name="_Toc13776"/>
      <w:r>
        <w:rPr>
          <w:rFonts w:hint="eastAsia" w:ascii="方正小标宋简体" w:hAnsi="方正小标宋简体" w:eastAsia="方正小标宋简体" w:cs="方正小标宋简体"/>
          <w:sz w:val="52"/>
          <w:szCs w:val="52"/>
        </w:rPr>
        <w:t>2021年度</w:t>
      </w:r>
      <w:bookmarkEnd w:id="0"/>
      <w:bookmarkEnd w:id="1"/>
      <w:bookmarkEnd w:id="2"/>
      <w:bookmarkEnd w:id="3"/>
      <w:bookmarkEnd w:id="4"/>
      <w:bookmarkEnd w:id="6"/>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7" w:name="_Toc15377194"/>
      <w:bookmarkStart w:id="8" w:name="_Toc28658"/>
      <w:bookmarkStart w:id="9" w:name="_Toc15378442"/>
      <w:bookmarkStart w:id="10" w:name="_Toc15377426"/>
      <w:bookmarkStart w:id="11" w:name="_Toc15396476"/>
      <w:bookmarkStart w:id="12" w:name="_Toc15396598"/>
      <w:r>
        <w:rPr>
          <w:rFonts w:hint="eastAsia" w:ascii="方正小标宋简体" w:hAnsi="方正小标宋简体" w:eastAsia="方正小标宋简体" w:cs="方正小标宋简体"/>
          <w:sz w:val="52"/>
          <w:szCs w:val="52"/>
        </w:rPr>
        <w:t>中共四川省</w:t>
      </w:r>
      <w:bookmarkEnd w:id="5"/>
      <w:bookmarkStart w:id="13" w:name="_Toc15306268"/>
      <w:r>
        <w:rPr>
          <w:rFonts w:hint="eastAsia" w:ascii="方正小标宋简体" w:hAnsi="方正小标宋简体" w:eastAsia="方正小标宋简体" w:cs="方正小标宋简体"/>
          <w:sz w:val="52"/>
          <w:szCs w:val="52"/>
        </w:rPr>
        <w:t>委省直机关党校</w:t>
      </w:r>
    </w:p>
    <w:p>
      <w:pPr>
        <w:adjustRightInd w:val="0"/>
        <w:snapToGrid w:val="0"/>
        <w:spacing w:line="360" w:lineRule="auto"/>
        <w:jc w:val="center"/>
        <w:outlineLvl w:val="0"/>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部门决算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公开时间：2022年8月29日</w:t>
      </w:r>
    </w:p>
    <w:p>
      <w:pPr>
        <w:pStyle w:val="10"/>
      </w:pPr>
    </w:p>
    <w:p>
      <w:pPr>
        <w:pStyle w:val="10"/>
      </w:pPr>
    </w:p>
    <w:p>
      <w:pPr>
        <w:pStyle w:val="10"/>
      </w:pPr>
      <w:r>
        <w:fldChar w:fldCharType="begin"/>
      </w:r>
      <w:r>
        <w:instrText xml:space="preserve">TOC \o "1-3" \h \u </w:instrText>
      </w:r>
      <w:r>
        <w:fldChar w:fldCharType="separate"/>
      </w:r>
    </w:p>
    <w:p>
      <w:pPr>
        <w:pStyle w:val="10"/>
        <w:adjustRightInd w:val="0"/>
        <w:snapToGrid w:val="0"/>
        <w:spacing w:before="0" w:line="440" w:lineRule="exact"/>
        <w:jc w:val="left"/>
        <w:rPr>
          <w:sz w:val="32"/>
          <w:szCs w:val="32"/>
        </w:rPr>
      </w:pPr>
      <w:r>
        <w:fldChar w:fldCharType="begin"/>
      </w:r>
      <w:r>
        <w:instrText xml:space="preserve"> HYPERLINK \l "_Toc25540" </w:instrText>
      </w:r>
      <w:r>
        <w:fldChar w:fldCharType="separate"/>
      </w:r>
      <w:r>
        <w:rPr>
          <w:rFonts w:hint="eastAsia"/>
          <w:sz w:val="32"/>
          <w:szCs w:val="32"/>
        </w:rPr>
        <w:t>第一部分 部门概况</w:t>
      </w:r>
      <w:r>
        <w:rPr>
          <w:rFonts w:hint="eastAsia"/>
          <w:sz w:val="32"/>
          <w:szCs w:val="32"/>
        </w:rPr>
        <w:tab/>
      </w:r>
      <w:r>
        <w:rPr>
          <w:rFonts w:hint="eastAsia"/>
          <w:sz w:val="32"/>
          <w:szCs w:val="32"/>
        </w:rPr>
        <w:fldChar w:fldCharType="begin"/>
      </w:r>
      <w:r>
        <w:rPr>
          <w:rFonts w:hint="eastAsia"/>
          <w:sz w:val="32"/>
          <w:szCs w:val="32"/>
        </w:rPr>
        <w:instrText xml:space="preserve"> PAGEREF _Toc25540 \h </w:instrText>
      </w:r>
      <w:r>
        <w:rPr>
          <w:rFonts w:hint="eastAsia"/>
          <w:sz w:val="32"/>
          <w:szCs w:val="32"/>
        </w:rPr>
        <w:fldChar w:fldCharType="separate"/>
      </w:r>
      <w:r>
        <w:rPr>
          <w:rFonts w:hint="eastAsia"/>
          <w:sz w:val="32"/>
          <w:szCs w:val="32"/>
        </w:rPr>
        <w:t>1</w:t>
      </w:r>
      <w:r>
        <w:rPr>
          <w:rFonts w:hint="eastAsia"/>
          <w:sz w:val="32"/>
          <w:szCs w:val="32"/>
        </w:rPr>
        <w:fldChar w:fldCharType="end"/>
      </w:r>
      <w:r>
        <w:rPr>
          <w:rFonts w:hint="eastAsia"/>
          <w:sz w:val="32"/>
          <w:szCs w:val="32"/>
        </w:rPr>
        <w:fldChar w:fldCharType="end"/>
      </w:r>
    </w:p>
    <w:p>
      <w:pPr>
        <w:pStyle w:val="11"/>
        <w:adjustRightInd w:val="0"/>
        <w:snapToGrid w:val="0"/>
        <w:spacing w:line="440" w:lineRule="exact"/>
        <w:jc w:val="left"/>
        <w:rPr>
          <w:rFonts w:ascii="仿宋" w:hAnsi="仿宋" w:eastAsia="仿宋" w:cs="仿宋"/>
          <w:sz w:val="28"/>
          <w:szCs w:val="28"/>
        </w:rPr>
      </w:pPr>
      <w:r>
        <w:fldChar w:fldCharType="begin"/>
      </w:r>
      <w:r>
        <w:instrText xml:space="preserve"> HYPERLINK \l "_Toc16579" </w:instrText>
      </w:r>
      <w:r>
        <w:fldChar w:fldCharType="separate"/>
      </w:r>
      <w:r>
        <w:rPr>
          <w:rFonts w:hint="eastAsia" w:ascii="仿宋" w:hAnsi="仿宋" w:eastAsia="仿宋" w:cs="仿宋"/>
          <w:sz w:val="28"/>
          <w:szCs w:val="28"/>
        </w:rPr>
        <w:t>一、基本职能及主要工作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_Toc16579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adjustRightInd w:val="0"/>
        <w:snapToGrid w:val="0"/>
        <w:spacing w:line="440" w:lineRule="exact"/>
        <w:jc w:val="left"/>
        <w:rPr>
          <w:sz w:val="24"/>
        </w:rPr>
      </w:pPr>
      <w:r>
        <w:fldChar w:fldCharType="begin"/>
      </w:r>
      <w:r>
        <w:instrText xml:space="preserve"> HYPERLINK \l "_Toc12755" </w:instrText>
      </w:r>
      <w: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_Toc12755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adjustRightInd w:val="0"/>
        <w:snapToGrid w:val="0"/>
        <w:spacing w:before="0" w:line="440" w:lineRule="exact"/>
        <w:jc w:val="left"/>
        <w:rPr>
          <w:sz w:val="32"/>
          <w:szCs w:val="32"/>
        </w:rPr>
      </w:pPr>
      <w:r>
        <w:fldChar w:fldCharType="begin"/>
      </w:r>
      <w:r>
        <w:instrText xml:space="preserve"> HYPERLINK \l "_Toc1253" </w:instrText>
      </w:r>
      <w:r>
        <w:fldChar w:fldCharType="separate"/>
      </w:r>
      <w:r>
        <w:rPr>
          <w:rFonts w:hint="eastAsia"/>
          <w:sz w:val="32"/>
          <w:szCs w:val="32"/>
        </w:rPr>
        <w:t>第二部分 2021年度部门决算情况说明</w:t>
      </w:r>
      <w:r>
        <w:rPr>
          <w:rFonts w:hint="eastAsia"/>
          <w:sz w:val="32"/>
          <w:szCs w:val="32"/>
        </w:rPr>
        <w:tab/>
      </w:r>
      <w:r>
        <w:rPr>
          <w:rFonts w:hint="eastAsia"/>
          <w:sz w:val="32"/>
          <w:szCs w:val="32"/>
        </w:rPr>
        <w:fldChar w:fldCharType="begin"/>
      </w:r>
      <w:r>
        <w:rPr>
          <w:rFonts w:hint="eastAsia"/>
          <w:sz w:val="32"/>
          <w:szCs w:val="32"/>
        </w:rPr>
        <w:instrText xml:space="preserve"> PAGEREF _Toc1253 \h </w:instrText>
      </w:r>
      <w:r>
        <w:rPr>
          <w:rFonts w:hint="eastAsia"/>
          <w:sz w:val="32"/>
          <w:szCs w:val="32"/>
        </w:rPr>
        <w:fldChar w:fldCharType="separate"/>
      </w:r>
      <w:r>
        <w:rPr>
          <w:rFonts w:hint="eastAsia"/>
          <w:sz w:val="32"/>
          <w:szCs w:val="32"/>
        </w:rPr>
        <w:t>3</w:t>
      </w:r>
      <w:r>
        <w:rPr>
          <w:rFonts w:hint="eastAsia"/>
          <w:sz w:val="32"/>
          <w:szCs w:val="32"/>
        </w:rPr>
        <w:fldChar w:fldCharType="end"/>
      </w:r>
      <w:r>
        <w:rPr>
          <w:rFonts w:hint="eastAsia"/>
          <w:sz w:val="32"/>
          <w:szCs w:val="32"/>
        </w:rPr>
        <w:fldChar w:fldCharType="end"/>
      </w:r>
    </w:p>
    <w:p>
      <w:pPr>
        <w:pStyle w:val="11"/>
        <w:adjustRightInd w:val="0"/>
        <w:snapToGrid w:val="0"/>
        <w:spacing w:line="440" w:lineRule="exact"/>
        <w:jc w:val="left"/>
        <w:rPr>
          <w:rFonts w:ascii="仿宋" w:hAnsi="仿宋" w:eastAsia="仿宋" w:cs="仿宋"/>
          <w:sz w:val="28"/>
          <w:szCs w:val="28"/>
        </w:rPr>
      </w:pPr>
      <w:r>
        <w:fldChar w:fldCharType="begin"/>
      </w:r>
      <w:r>
        <w:instrText xml:space="preserve"> HYPERLINK \l "_Toc15230" </w:instrText>
      </w:r>
      <w: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_Toc15230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adjustRightInd w:val="0"/>
        <w:snapToGrid w:val="0"/>
        <w:spacing w:line="440" w:lineRule="exact"/>
        <w:jc w:val="left"/>
        <w:rPr>
          <w:rFonts w:ascii="仿宋" w:hAnsi="仿宋" w:eastAsia="仿宋" w:cs="仿宋"/>
          <w:sz w:val="28"/>
          <w:szCs w:val="28"/>
        </w:rPr>
      </w:pPr>
      <w:r>
        <w:fldChar w:fldCharType="begin"/>
      </w:r>
      <w:r>
        <w:instrText xml:space="preserve"> HYPERLINK \l "_Toc2422" </w:instrText>
      </w:r>
      <w: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_Toc2422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adjustRightInd w:val="0"/>
        <w:snapToGrid w:val="0"/>
        <w:spacing w:line="440" w:lineRule="exact"/>
        <w:jc w:val="left"/>
        <w:rPr>
          <w:rFonts w:ascii="仿宋" w:hAnsi="仿宋" w:eastAsia="仿宋" w:cs="仿宋"/>
          <w:sz w:val="28"/>
          <w:szCs w:val="28"/>
        </w:rPr>
      </w:pPr>
      <w:r>
        <w:fldChar w:fldCharType="begin"/>
      </w:r>
      <w:r>
        <w:instrText xml:space="preserve"> HYPERLINK \l "_Toc27557" </w:instrText>
      </w:r>
      <w: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_Toc27557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adjustRightInd w:val="0"/>
        <w:snapToGrid w:val="0"/>
        <w:spacing w:line="440" w:lineRule="exact"/>
        <w:jc w:val="left"/>
        <w:rPr>
          <w:rFonts w:ascii="仿宋" w:hAnsi="仿宋" w:eastAsia="仿宋" w:cs="仿宋"/>
          <w:sz w:val="28"/>
          <w:szCs w:val="28"/>
        </w:rPr>
      </w:pPr>
      <w:r>
        <w:fldChar w:fldCharType="begin"/>
      </w:r>
      <w:r>
        <w:instrText xml:space="preserve"> HYPERLINK \l "_Toc5733"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_Toc5733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adjustRightInd w:val="0"/>
        <w:snapToGrid w:val="0"/>
        <w:spacing w:line="440" w:lineRule="exact"/>
        <w:jc w:val="left"/>
        <w:rPr>
          <w:rFonts w:ascii="仿宋" w:hAnsi="仿宋" w:eastAsia="仿宋" w:cs="仿宋"/>
          <w:sz w:val="28"/>
          <w:szCs w:val="28"/>
        </w:rPr>
      </w:pPr>
      <w:r>
        <w:fldChar w:fldCharType="begin"/>
      </w:r>
      <w:r>
        <w:instrText xml:space="preserve"> HYPERLINK \l "_Toc15947"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_Toc15947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adjustRightInd w:val="0"/>
        <w:snapToGrid w:val="0"/>
        <w:spacing w:line="440" w:lineRule="exact"/>
        <w:jc w:val="left"/>
        <w:rPr>
          <w:rFonts w:ascii="仿宋" w:hAnsi="仿宋" w:eastAsia="仿宋" w:cs="仿宋"/>
          <w:sz w:val="28"/>
          <w:szCs w:val="28"/>
        </w:rPr>
      </w:pPr>
      <w:r>
        <w:fldChar w:fldCharType="begin"/>
      </w:r>
      <w:r>
        <w:instrText xml:space="preserve"> HYPERLINK \l "_Toc26767"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_Toc26767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adjustRightInd w:val="0"/>
        <w:snapToGrid w:val="0"/>
        <w:spacing w:line="440" w:lineRule="exact"/>
        <w:jc w:val="left"/>
        <w:rPr>
          <w:rFonts w:ascii="仿宋" w:hAnsi="仿宋" w:eastAsia="仿宋" w:cs="仿宋"/>
          <w:sz w:val="28"/>
          <w:szCs w:val="28"/>
        </w:rPr>
      </w:pPr>
      <w:r>
        <w:fldChar w:fldCharType="begin"/>
      </w:r>
      <w:r>
        <w:instrText xml:space="preserve"> HYPERLINK \l "_Toc6244" </w:instrText>
      </w:r>
      <w: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_Toc6244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adjustRightInd w:val="0"/>
        <w:snapToGrid w:val="0"/>
        <w:spacing w:line="440" w:lineRule="exact"/>
        <w:jc w:val="left"/>
        <w:rPr>
          <w:rFonts w:ascii="仿宋" w:hAnsi="仿宋" w:eastAsia="仿宋" w:cs="仿宋"/>
          <w:sz w:val="28"/>
          <w:szCs w:val="28"/>
        </w:rPr>
      </w:pPr>
      <w:r>
        <w:fldChar w:fldCharType="begin"/>
      </w:r>
      <w:r>
        <w:instrText xml:space="preserve"> HYPERLINK \l "_Toc12038"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_Toc12038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adjustRightInd w:val="0"/>
        <w:snapToGrid w:val="0"/>
        <w:spacing w:line="440" w:lineRule="exact"/>
        <w:jc w:val="left"/>
        <w:rPr>
          <w:rFonts w:ascii="仿宋" w:hAnsi="仿宋" w:eastAsia="仿宋" w:cs="仿宋"/>
          <w:sz w:val="28"/>
          <w:szCs w:val="28"/>
        </w:rPr>
      </w:pPr>
      <w:r>
        <w:fldChar w:fldCharType="begin"/>
      </w:r>
      <w:r>
        <w:instrText xml:space="preserve"> HYPERLINK \l "_Toc14895" </w:instrText>
      </w:r>
      <w: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_Toc14895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adjustRightInd w:val="0"/>
        <w:snapToGrid w:val="0"/>
        <w:spacing w:line="440" w:lineRule="exact"/>
        <w:jc w:val="left"/>
      </w:pPr>
      <w:r>
        <w:fldChar w:fldCharType="begin"/>
      </w:r>
      <w:r>
        <w:instrText xml:space="preserve"> HYPERLINK \l "_Toc8801" </w:instrText>
      </w:r>
      <w: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_Toc8801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adjustRightInd w:val="0"/>
        <w:snapToGrid w:val="0"/>
        <w:spacing w:before="0" w:line="440" w:lineRule="exact"/>
        <w:jc w:val="left"/>
        <w:rPr>
          <w:sz w:val="32"/>
          <w:szCs w:val="32"/>
        </w:rPr>
      </w:pPr>
      <w:r>
        <w:fldChar w:fldCharType="begin"/>
      </w:r>
      <w:r>
        <w:instrText xml:space="preserve"> HYPERLINK \l "_Toc1334" </w:instrText>
      </w:r>
      <w:r>
        <w:fldChar w:fldCharType="separate"/>
      </w:r>
      <w:r>
        <w:rPr>
          <w:rFonts w:hint="eastAsia"/>
          <w:sz w:val="32"/>
          <w:szCs w:val="32"/>
        </w:rPr>
        <w:t>第三部分 名词解释</w:t>
      </w:r>
      <w:r>
        <w:rPr>
          <w:rFonts w:hint="eastAsia"/>
          <w:sz w:val="32"/>
          <w:szCs w:val="32"/>
        </w:rPr>
        <w:tab/>
      </w:r>
      <w:r>
        <w:rPr>
          <w:rFonts w:hint="eastAsia"/>
          <w:sz w:val="32"/>
          <w:szCs w:val="32"/>
        </w:rPr>
        <w:fldChar w:fldCharType="begin"/>
      </w:r>
      <w:r>
        <w:rPr>
          <w:rFonts w:hint="eastAsia"/>
          <w:sz w:val="32"/>
          <w:szCs w:val="32"/>
        </w:rPr>
        <w:instrText xml:space="preserve"> PAGEREF _Toc1334 \h </w:instrText>
      </w:r>
      <w:r>
        <w:rPr>
          <w:rFonts w:hint="eastAsia"/>
          <w:sz w:val="32"/>
          <w:szCs w:val="32"/>
        </w:rPr>
        <w:fldChar w:fldCharType="separate"/>
      </w:r>
      <w:r>
        <w:rPr>
          <w:rFonts w:hint="eastAsia"/>
          <w:sz w:val="32"/>
          <w:szCs w:val="32"/>
        </w:rPr>
        <w:t>14</w:t>
      </w:r>
      <w:r>
        <w:rPr>
          <w:rFonts w:hint="eastAsia"/>
          <w:sz w:val="32"/>
          <w:szCs w:val="32"/>
        </w:rPr>
        <w:fldChar w:fldCharType="end"/>
      </w:r>
      <w:r>
        <w:rPr>
          <w:rFonts w:hint="eastAsia"/>
          <w:sz w:val="32"/>
          <w:szCs w:val="32"/>
        </w:rPr>
        <w:fldChar w:fldCharType="end"/>
      </w:r>
    </w:p>
    <w:p>
      <w:pPr>
        <w:pStyle w:val="10"/>
        <w:adjustRightInd w:val="0"/>
        <w:snapToGrid w:val="0"/>
        <w:spacing w:before="0" w:line="440" w:lineRule="exact"/>
        <w:jc w:val="left"/>
        <w:rPr>
          <w:sz w:val="32"/>
          <w:szCs w:val="32"/>
        </w:rPr>
      </w:pPr>
      <w:r>
        <w:fldChar w:fldCharType="begin"/>
      </w:r>
      <w:r>
        <w:instrText xml:space="preserve"> HYPERLINK \l "_Toc26870" </w:instrText>
      </w:r>
      <w:r>
        <w:fldChar w:fldCharType="separate"/>
      </w:r>
      <w:r>
        <w:rPr>
          <w:rFonts w:hint="eastAsia"/>
          <w:sz w:val="32"/>
          <w:szCs w:val="32"/>
        </w:rPr>
        <w:t>第四部分 附件</w:t>
      </w:r>
      <w:r>
        <w:rPr>
          <w:rFonts w:hint="eastAsia"/>
          <w:sz w:val="32"/>
          <w:szCs w:val="32"/>
        </w:rPr>
        <w:tab/>
      </w:r>
      <w:r>
        <w:rPr>
          <w:rFonts w:hint="eastAsia"/>
          <w:sz w:val="32"/>
          <w:szCs w:val="32"/>
        </w:rPr>
        <w:fldChar w:fldCharType="begin"/>
      </w:r>
      <w:r>
        <w:rPr>
          <w:rFonts w:hint="eastAsia"/>
          <w:sz w:val="32"/>
          <w:szCs w:val="32"/>
        </w:rPr>
        <w:instrText xml:space="preserve"> PAGEREF _Toc26870 \h </w:instrText>
      </w:r>
      <w:r>
        <w:rPr>
          <w:rFonts w:hint="eastAsia"/>
          <w:sz w:val="32"/>
          <w:szCs w:val="32"/>
        </w:rPr>
        <w:fldChar w:fldCharType="separate"/>
      </w:r>
      <w:r>
        <w:rPr>
          <w:rFonts w:hint="eastAsia"/>
          <w:sz w:val="32"/>
          <w:szCs w:val="32"/>
        </w:rPr>
        <w:t>18</w:t>
      </w:r>
      <w:r>
        <w:rPr>
          <w:rFonts w:hint="eastAsia"/>
          <w:sz w:val="32"/>
          <w:szCs w:val="32"/>
        </w:rPr>
        <w:fldChar w:fldCharType="end"/>
      </w:r>
      <w:r>
        <w:rPr>
          <w:rFonts w:hint="eastAsia"/>
          <w:sz w:val="32"/>
          <w:szCs w:val="32"/>
        </w:rPr>
        <w:fldChar w:fldCharType="end"/>
      </w:r>
    </w:p>
    <w:p>
      <w:pPr>
        <w:pStyle w:val="10"/>
        <w:adjustRightInd w:val="0"/>
        <w:snapToGrid w:val="0"/>
        <w:spacing w:before="0" w:line="440" w:lineRule="exact"/>
        <w:jc w:val="left"/>
        <w:rPr>
          <w:sz w:val="32"/>
          <w:szCs w:val="32"/>
        </w:rPr>
      </w:pPr>
      <w:r>
        <w:fldChar w:fldCharType="begin"/>
      </w:r>
      <w:r>
        <w:instrText xml:space="preserve"> HYPERLINK \l "_Toc11082" </w:instrText>
      </w:r>
      <w:r>
        <w:fldChar w:fldCharType="separate"/>
      </w:r>
      <w:r>
        <w:rPr>
          <w:rFonts w:hint="eastAsia"/>
          <w:sz w:val="32"/>
          <w:szCs w:val="32"/>
        </w:rPr>
        <w:t>第五部分 附表</w:t>
      </w:r>
      <w:r>
        <w:rPr>
          <w:rFonts w:hint="eastAsia"/>
          <w:sz w:val="32"/>
          <w:szCs w:val="32"/>
        </w:rPr>
        <w:tab/>
      </w:r>
      <w:r>
        <w:rPr>
          <w:rFonts w:hint="eastAsia"/>
          <w:sz w:val="32"/>
          <w:szCs w:val="32"/>
        </w:rPr>
        <w:fldChar w:fldCharType="begin"/>
      </w:r>
      <w:r>
        <w:rPr>
          <w:rFonts w:hint="eastAsia"/>
          <w:sz w:val="32"/>
          <w:szCs w:val="32"/>
        </w:rPr>
        <w:instrText xml:space="preserve"> PAGEREF _Toc11082 \h </w:instrText>
      </w:r>
      <w:r>
        <w:rPr>
          <w:rFonts w:hint="eastAsia"/>
          <w:sz w:val="32"/>
          <w:szCs w:val="32"/>
        </w:rPr>
        <w:fldChar w:fldCharType="separate"/>
      </w:r>
      <w:r>
        <w:rPr>
          <w:rFonts w:hint="eastAsia"/>
          <w:sz w:val="32"/>
          <w:szCs w:val="32"/>
        </w:rPr>
        <w:t>39</w:t>
      </w:r>
      <w:r>
        <w:rPr>
          <w:rFonts w:hint="eastAsia"/>
          <w:sz w:val="32"/>
          <w:szCs w:val="32"/>
        </w:rPr>
        <w:fldChar w:fldCharType="end"/>
      </w:r>
      <w:r>
        <w:rPr>
          <w:rFonts w:hint="eastAsia"/>
          <w:sz w:val="32"/>
          <w:szCs w:val="32"/>
        </w:rPr>
        <w:fldChar w:fldCharType="end"/>
      </w:r>
    </w:p>
    <w:p>
      <w:r>
        <w:fldChar w:fldCharType="end"/>
      </w:r>
    </w:p>
    <w:p>
      <w:pPr>
        <w:pStyle w:val="3"/>
        <w:jc w:val="center"/>
        <w:rPr>
          <w:rFonts w:ascii="黑体" w:hAnsi="黑体" w:eastAsia="黑体"/>
          <w:b w:val="0"/>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4" w:name="_Toc25540"/>
      <w:bookmarkStart w:id="15" w:name="_Toc15396599"/>
      <w:bookmarkStart w:id="16" w:name="_Toc15377196"/>
    </w:p>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4"/>
      <w:bookmarkEnd w:id="15"/>
      <w:bookmarkEnd w:id="16"/>
    </w:p>
    <w:p>
      <w:pPr>
        <w:widowControl/>
        <w:jc w:val="left"/>
        <w:rPr>
          <w:rFonts w:ascii="黑体" w:eastAsia="黑体"/>
          <w:sz w:val="32"/>
          <w:szCs w:val="32"/>
        </w:rPr>
      </w:pPr>
    </w:p>
    <w:p>
      <w:pPr>
        <w:pStyle w:val="4"/>
        <w:rPr>
          <w:rStyle w:val="26"/>
          <w:rFonts w:ascii="仿宋" w:hAnsi="仿宋" w:eastAsia="仿宋"/>
          <w:b w:val="0"/>
          <w:bCs w:val="0"/>
        </w:rPr>
      </w:pPr>
      <w:bookmarkStart w:id="17" w:name="_Toc15377197"/>
      <w:bookmarkStart w:id="18" w:name="_Toc16579"/>
      <w:bookmarkStart w:id="19" w:name="_Toc15396600"/>
      <w:r>
        <w:rPr>
          <w:rFonts w:hint="eastAsia" w:ascii="黑体" w:hAnsi="黑体" w:eastAsia="黑体"/>
          <w:b w:val="0"/>
        </w:rPr>
        <w:t>一、基</w:t>
      </w:r>
      <w:r>
        <w:rPr>
          <w:rStyle w:val="26"/>
          <w:rFonts w:hint="eastAsia" w:ascii="黑体" w:hAnsi="黑体" w:eastAsia="黑体"/>
          <w:b w:val="0"/>
          <w:bCs w:val="0"/>
        </w:rPr>
        <w:t>本职能及主要工作</w:t>
      </w:r>
      <w:bookmarkEnd w:id="17"/>
      <w:bookmarkEnd w:id="18"/>
      <w:bookmarkEnd w:id="19"/>
    </w:p>
    <w:p>
      <w:pPr>
        <w:pStyle w:val="2"/>
        <w:adjustRightInd w:val="0"/>
        <w:snapToGrid w:val="0"/>
        <w:spacing w:before="93" w:line="600" w:lineRule="exact"/>
        <w:ind w:firstLine="672" w:firstLineChars="210"/>
        <w:outlineLvl w:val="2"/>
        <w:rPr>
          <w:rFonts w:ascii="仿宋" w:hAnsi="仿宋" w:eastAsia="仿宋"/>
          <w:bCs/>
          <w:sz w:val="32"/>
          <w:szCs w:val="32"/>
        </w:rPr>
      </w:pPr>
      <w:bookmarkStart w:id="20" w:name="_Toc1180"/>
      <w:bookmarkStart w:id="21" w:name="_Toc15377198"/>
      <w:bookmarkStart w:id="22" w:name="_Toc15378445"/>
      <w:r>
        <w:rPr>
          <w:rFonts w:hint="eastAsia"/>
          <w:sz w:val="32"/>
          <w:szCs w:val="32"/>
        </w:rPr>
        <w:t>（一）主要职能。</w:t>
      </w:r>
      <w:bookmarkEnd w:id="20"/>
    </w:p>
    <w:p>
      <w:pPr>
        <w:pStyle w:val="2"/>
        <w:adjustRightInd w:val="0"/>
        <w:snapToGrid w:val="0"/>
        <w:spacing w:before="93" w:line="600" w:lineRule="exact"/>
        <w:ind w:firstLine="672" w:firstLineChars="210"/>
        <w:outlineLvl w:val="2"/>
        <w:rPr>
          <w:rFonts w:ascii="仿宋" w:hAnsi="仿宋" w:eastAsia="仿宋"/>
          <w:bCs/>
          <w:color w:val="0000FF"/>
          <w:sz w:val="32"/>
          <w:szCs w:val="32"/>
        </w:rPr>
      </w:pPr>
      <w:bookmarkStart w:id="23" w:name="_Toc8832"/>
      <w:r>
        <w:rPr>
          <w:rFonts w:hint="eastAsia"/>
          <w:sz w:val="32"/>
          <w:szCs w:val="32"/>
        </w:rPr>
        <w:t>中共四川省委省直机关党校主要职能是按照省委要求，完成对省级机关各单位处级领导干部和中青年干部的轮培训任务，以及其他各类干部培训工作；研究宣传中国特色社会主义理论，承担重点课题研究；举办各类成人学历教育和研究生培养。</w:t>
      </w:r>
      <w:bookmarkEnd w:id="21"/>
      <w:bookmarkEnd w:id="22"/>
      <w:bookmarkEnd w:id="23"/>
    </w:p>
    <w:p>
      <w:pPr>
        <w:pStyle w:val="2"/>
        <w:adjustRightInd w:val="0"/>
        <w:snapToGrid w:val="0"/>
        <w:spacing w:before="93" w:line="600" w:lineRule="exact"/>
        <w:ind w:firstLine="672" w:firstLineChars="210"/>
        <w:outlineLvl w:val="2"/>
        <w:rPr>
          <w:sz w:val="32"/>
          <w:szCs w:val="32"/>
        </w:rPr>
      </w:pPr>
      <w:bookmarkStart w:id="24" w:name="_Toc15378446"/>
      <w:bookmarkStart w:id="25" w:name="_Toc24249"/>
      <w:bookmarkStart w:id="26" w:name="_Toc15377199"/>
      <w:r>
        <w:rPr>
          <w:rFonts w:hint="eastAsia"/>
          <w:sz w:val="32"/>
          <w:szCs w:val="32"/>
        </w:rPr>
        <w:t>（二）2021年重点工作完成情况。</w:t>
      </w:r>
      <w:bookmarkEnd w:id="24"/>
      <w:bookmarkEnd w:id="25"/>
      <w:bookmarkEnd w:id="26"/>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sz w:val="32"/>
          <w:szCs w:val="32"/>
        </w:rPr>
        <w:t>2021年，我校以习近平新时代中国特色社会主义思想为指导，认真贯彻党的十九届五中、六中全会和省委十一届八次、九次、十次全会精神，把握新发展阶段、贯彻新发展理念、构建新发展格局，坚持党校姓党、从严治校、依规治校、质量兴校，克服新冠肺炎疫情影响，充分发挥“理论教育主阵地、党性教育大熔炉和机关党建助推器”职能作用。培训总量16166人，同比增长4428人，增长率37.7%，创历史新高；科研获奖成果19项、决策咨询签批率70%，实现新突破；3名教师获评全省首届干部教育名师，占获评总人数的15%，队伍建设迈上新台阶；校区迁建正式批复立项，办学条件将迎来历史性转变。</w:t>
      </w:r>
    </w:p>
    <w:p>
      <w:pPr>
        <w:pStyle w:val="4"/>
        <w:rPr>
          <w:rStyle w:val="26"/>
          <w:b w:val="0"/>
          <w:bCs w:val="0"/>
        </w:rPr>
      </w:pPr>
      <w:bookmarkStart w:id="27" w:name="_Toc15377200"/>
      <w:bookmarkStart w:id="28" w:name="_Toc15396601"/>
      <w:bookmarkStart w:id="29" w:name="_Toc12755"/>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7"/>
      <w:bookmarkEnd w:id="28"/>
      <w:bookmarkEnd w:id="29"/>
    </w:p>
    <w:p>
      <w:pPr>
        <w:ind w:firstLine="800" w:firstLineChars="250"/>
        <w:rPr>
          <w:rFonts w:ascii="仿宋" w:hAnsi="仿宋" w:eastAsia="仿宋"/>
          <w:kern w:val="0"/>
          <w:sz w:val="32"/>
          <w:szCs w:val="32"/>
        </w:rPr>
      </w:pPr>
      <w:r>
        <w:rPr>
          <w:rFonts w:hint="eastAsia" w:ascii="仿宋_GB2312" w:eastAsia="仿宋_GB2312"/>
          <w:kern w:val="0"/>
          <w:sz w:val="32"/>
          <w:szCs w:val="32"/>
        </w:rPr>
        <w:t>中共四川省委省直机关党校是参照国家公务员管理的事业单位，无下属单位。</w:t>
      </w:r>
      <w:r>
        <w:rPr>
          <w:rFonts w:ascii="仿宋" w:hAnsi="仿宋" w:eastAsia="仿宋"/>
          <w:sz w:val="32"/>
          <w:szCs w:val="32"/>
        </w:rPr>
        <w:br w:type="page"/>
      </w:r>
    </w:p>
    <w:p>
      <w:pPr>
        <w:pStyle w:val="3"/>
        <w:ind w:right="440"/>
        <w:jc w:val="center"/>
        <w:rPr>
          <w:rStyle w:val="25"/>
          <w:rFonts w:ascii="黑体" w:hAnsi="黑体" w:eastAsia="黑体"/>
          <w:b w:val="0"/>
          <w:bCs/>
        </w:rPr>
      </w:pPr>
      <w:bookmarkStart w:id="30" w:name="_Toc1253"/>
      <w:bookmarkStart w:id="31" w:name="_Toc15377204"/>
      <w:bookmarkStart w:id="32" w:name="_Toc15396602"/>
      <w:r>
        <w:rPr>
          <w:rFonts w:hint="eastAsia" w:ascii="黑体" w:hAnsi="黑体" w:eastAsia="黑体"/>
          <w:b w:val="0"/>
        </w:rPr>
        <w:t>第二部分 2021年度</w:t>
      </w:r>
      <w:r>
        <w:rPr>
          <w:rStyle w:val="25"/>
          <w:rFonts w:hint="eastAsia" w:ascii="黑体" w:hAnsi="黑体" w:eastAsia="黑体"/>
          <w:b w:val="0"/>
          <w:bCs/>
        </w:rPr>
        <w:t>部门决算情况说明</w:t>
      </w:r>
      <w:bookmarkEnd w:id="30"/>
      <w:bookmarkEnd w:id="31"/>
      <w:bookmarkEnd w:id="32"/>
    </w:p>
    <w:p/>
    <w:p>
      <w:pPr>
        <w:pStyle w:val="24"/>
        <w:numPr>
          <w:ilvl w:val="0"/>
          <w:numId w:val="1"/>
        </w:numPr>
        <w:spacing w:line="600" w:lineRule="exact"/>
        <w:ind w:firstLineChars="0"/>
        <w:outlineLvl w:val="1"/>
        <w:rPr>
          <w:rStyle w:val="26"/>
          <w:rFonts w:ascii="黑体" w:hAnsi="黑体" w:eastAsia="黑体"/>
          <w:b w:val="0"/>
        </w:rPr>
      </w:pPr>
      <w:bookmarkStart w:id="33" w:name="_Toc15396603"/>
      <w:bookmarkStart w:id="34" w:name="_Toc15230"/>
      <w:bookmarkStart w:id="35"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33"/>
      <w:bookmarkEnd w:id="34"/>
      <w:bookmarkEnd w:id="35"/>
    </w:p>
    <w:p>
      <w:pPr>
        <w:ind w:firstLine="800" w:firstLineChars="250"/>
        <w:rPr>
          <w:rFonts w:ascii="仿宋_GB2312" w:eastAsia="仿宋_GB2312"/>
          <w:kern w:val="0"/>
          <w:sz w:val="32"/>
          <w:szCs w:val="32"/>
        </w:rPr>
      </w:pPr>
      <w:r>
        <w:rPr>
          <w:rFonts w:hint="eastAsia" w:ascii="仿宋_GB2312" w:eastAsia="仿宋_GB2312"/>
          <w:kern w:val="0"/>
          <w:sz w:val="32"/>
          <w:szCs w:val="32"/>
        </w:rPr>
        <w:t>2021年收入14774.03万元，较2020年增加9977.88万元，增长208.04%，主要原因是新增校区迁建基本建设项目10000万元和中小学幼儿园教师国家级培训计划项目资金200万元；2021年支出14667.91万元，较2020年增加10034.22万元，增长216.55%，主要原因是</w:t>
      </w:r>
      <w:r>
        <w:rPr>
          <w:rFonts w:hint="eastAsia" w:ascii="宋体" w:hAnsi="宋体" w:cs="宋体"/>
          <w:kern w:val="0"/>
          <w:sz w:val="32"/>
          <w:szCs w:val="32"/>
        </w:rPr>
        <w:t>：</w:t>
      </w:r>
      <w:r>
        <w:rPr>
          <w:rFonts w:hint="eastAsia" w:ascii="仿宋_GB2312" w:eastAsia="仿宋_GB2312"/>
          <w:kern w:val="0"/>
          <w:sz w:val="32"/>
          <w:szCs w:val="32"/>
        </w:rPr>
        <w:t>新增校区迁建项目购置土地价款、设计勘察及文堪等费用支出9140.59万元。</w:t>
      </w:r>
    </w:p>
    <w:p>
      <w:pPr>
        <w:widowControl/>
        <w:spacing w:line="315" w:lineRule="atLeast"/>
        <w:ind w:firstLine="480"/>
        <w:rPr>
          <w:rFonts w:ascii="仿宋_GB2312" w:eastAsia="仿宋_GB2312"/>
          <w:sz w:val="32"/>
          <w:szCs w:val="32"/>
        </w:rPr>
      </w:pPr>
      <w:r>
        <w:rPr>
          <w:rFonts w:hint="eastAsia" w:ascii="仿宋_GB2312" w:eastAsia="仿宋_GB2312"/>
          <w:sz w:val="32"/>
          <w:szCs w:val="32"/>
        </w:rPr>
        <w:drawing>
          <wp:inline distT="0" distB="0" distL="0" distR="0">
            <wp:extent cx="4670425" cy="3093720"/>
            <wp:effectExtent l="4445" t="4445" r="19050" b="10795"/>
            <wp:docPr id="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4"/>
        <w:numPr>
          <w:ilvl w:val="0"/>
          <w:numId w:val="1"/>
        </w:numPr>
        <w:spacing w:line="600" w:lineRule="exact"/>
        <w:ind w:firstLineChars="0"/>
        <w:outlineLvl w:val="1"/>
        <w:rPr>
          <w:rStyle w:val="26"/>
          <w:rFonts w:ascii="黑体" w:hAnsi="黑体" w:eastAsia="黑体"/>
          <w:b w:val="0"/>
        </w:rPr>
      </w:pPr>
      <w:bookmarkStart w:id="36" w:name="_Toc2422"/>
      <w:bookmarkStart w:id="37" w:name="_Toc15377206"/>
      <w:bookmarkStart w:id="38" w:name="_Toc15396604"/>
      <w:r>
        <w:rPr>
          <w:rFonts w:hint="eastAsia" w:ascii="黑体" w:hAnsi="黑体" w:eastAsia="黑体"/>
          <w:sz w:val="32"/>
          <w:szCs w:val="32"/>
        </w:rPr>
        <w:t>收</w:t>
      </w:r>
      <w:r>
        <w:rPr>
          <w:rStyle w:val="26"/>
          <w:rFonts w:hint="eastAsia" w:ascii="黑体" w:hAnsi="黑体" w:eastAsia="黑体"/>
          <w:b w:val="0"/>
        </w:rPr>
        <w:t>入决算情况说明</w:t>
      </w:r>
      <w:bookmarkEnd w:id="36"/>
      <w:bookmarkEnd w:id="37"/>
      <w:bookmarkEnd w:id="38"/>
    </w:p>
    <w:p>
      <w:pPr>
        <w:ind w:firstLine="800" w:firstLineChars="250"/>
        <w:rPr>
          <w:rFonts w:ascii="仿宋_GB2312" w:eastAsia="仿宋_GB2312"/>
          <w:kern w:val="0"/>
          <w:sz w:val="32"/>
          <w:szCs w:val="32"/>
        </w:rPr>
      </w:pPr>
      <w:bookmarkStart w:id="39" w:name="_Toc1714"/>
      <w:r>
        <w:rPr>
          <w:rFonts w:hint="eastAsia" w:ascii="仿宋_GB2312" w:eastAsia="仿宋_GB2312"/>
          <w:kern w:val="0"/>
          <w:sz w:val="32"/>
          <w:szCs w:val="32"/>
        </w:rPr>
        <w:t>2021年本年收入合计14774.03万元，其中：一般公共预算财政拨款收入13466.12万元，占91.15%；事业收入641.90万元，占4.34%；其他收入666.00万元，占4.51%。</w:t>
      </w:r>
      <w:bookmarkEnd w:id="39"/>
    </w:p>
    <w:p>
      <w:r>
        <w:drawing>
          <wp:inline distT="0" distB="0" distL="114300" distR="114300">
            <wp:extent cx="4158615" cy="2968625"/>
            <wp:effectExtent l="0" t="0" r="0" b="317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4158615" cy="2968625"/>
                    </a:xfrm>
                    <a:prstGeom prst="rect">
                      <a:avLst/>
                    </a:prstGeom>
                    <a:noFill/>
                    <a:ln>
                      <a:noFill/>
                    </a:ln>
                  </pic:spPr>
                </pic:pic>
              </a:graphicData>
            </a:graphic>
          </wp:inline>
        </w:drawing>
      </w:r>
    </w:p>
    <w:p>
      <w:r>
        <w:rPr>
          <w:rFonts w:hint="eastAsia" w:ascii="仿宋" w:hAnsi="仿宋" w:eastAsia="仿宋"/>
          <w:sz w:val="32"/>
          <w:szCs w:val="32"/>
        </w:rPr>
        <w:t>（图2：收入决算结构图）（饼状图）</w:t>
      </w:r>
    </w:p>
    <w:p>
      <w:pPr>
        <w:spacing w:line="600" w:lineRule="exact"/>
        <w:ind w:firstLine="643" w:firstLineChars="200"/>
        <w:outlineLvl w:val="1"/>
        <w:rPr>
          <w:rFonts w:ascii="仿宋_GB2312" w:eastAsia="仿宋_GB2312"/>
          <w:sz w:val="32"/>
          <w:szCs w:val="32"/>
        </w:rPr>
      </w:pPr>
      <w:bookmarkStart w:id="40" w:name="_Toc25670"/>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w:t>
      </w:r>
      <w:r>
        <w:rPr>
          <w:rFonts w:ascii="仿宋" w:hAnsi="仿宋" w:eastAsia="仿宋"/>
          <w:b/>
          <w:sz w:val="32"/>
          <w:szCs w:val="32"/>
        </w:rPr>
        <w:t>）</w:t>
      </w:r>
      <w:bookmarkEnd w:id="40"/>
    </w:p>
    <w:p>
      <w:pPr>
        <w:pStyle w:val="24"/>
        <w:numPr>
          <w:ilvl w:val="0"/>
          <w:numId w:val="1"/>
        </w:numPr>
        <w:spacing w:line="600" w:lineRule="exact"/>
        <w:ind w:firstLineChars="0"/>
        <w:outlineLvl w:val="1"/>
        <w:rPr>
          <w:rStyle w:val="26"/>
          <w:rFonts w:ascii="黑体" w:hAnsi="黑体" w:eastAsia="黑体"/>
          <w:b w:val="0"/>
        </w:rPr>
      </w:pPr>
      <w:bookmarkStart w:id="41" w:name="_Toc15377207"/>
      <w:bookmarkStart w:id="42" w:name="_Toc15396605"/>
      <w:bookmarkStart w:id="43" w:name="_Toc27557"/>
      <w:r>
        <w:rPr>
          <w:rFonts w:hint="eastAsia" w:ascii="黑体" w:hAnsi="黑体" w:eastAsia="黑体"/>
          <w:sz w:val="32"/>
          <w:szCs w:val="32"/>
        </w:rPr>
        <w:t>支</w:t>
      </w:r>
      <w:r>
        <w:rPr>
          <w:rStyle w:val="26"/>
          <w:rFonts w:hint="eastAsia" w:ascii="黑体" w:hAnsi="黑体" w:eastAsia="黑体"/>
          <w:b w:val="0"/>
        </w:rPr>
        <w:t>出决算情况说明</w:t>
      </w:r>
      <w:bookmarkEnd w:id="41"/>
      <w:bookmarkEnd w:id="42"/>
      <w:bookmarkEnd w:id="43"/>
    </w:p>
    <w:p>
      <w:pPr>
        <w:ind w:firstLine="640" w:firstLineChars="200"/>
        <w:outlineLvl w:val="1"/>
      </w:pPr>
      <w:bookmarkStart w:id="44" w:name="_Toc21865"/>
      <w:r>
        <w:rPr>
          <w:rFonts w:hint="eastAsia" w:ascii="仿宋_GB2312" w:eastAsia="仿宋_GB2312"/>
          <w:kern w:val="0"/>
          <w:sz w:val="32"/>
          <w:szCs w:val="32"/>
        </w:rPr>
        <w:t>2021年本年支出合计14667.91万元，其中：基本支出3464.67万元，占23.62%；项目支出11203.24万元，占76.38%。</w:t>
      </w:r>
      <w:r>
        <w:rPr>
          <w:rFonts w:hint="eastAsia" w:ascii="仿宋" w:hAnsi="仿宋" w:eastAsia="仿宋"/>
          <w:sz w:val="32"/>
          <w:szCs w:val="32"/>
        </w:rPr>
        <w:t xml:space="preserve">  </w:t>
      </w:r>
      <w:r>
        <w:drawing>
          <wp:inline distT="0" distB="0" distL="114300" distR="114300">
            <wp:extent cx="4584065" cy="2755265"/>
            <wp:effectExtent l="0" t="0" r="6985" b="698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4584065" cy="2755265"/>
                    </a:xfrm>
                    <a:prstGeom prst="rect">
                      <a:avLst/>
                    </a:prstGeom>
                    <a:noFill/>
                    <a:ln>
                      <a:noFill/>
                    </a:ln>
                  </pic:spPr>
                </pic:pic>
              </a:graphicData>
            </a:graphic>
          </wp:inline>
        </w:drawing>
      </w:r>
      <w:bookmarkEnd w:id="44"/>
    </w:p>
    <w:p>
      <w:pPr>
        <w:outlineLvl w:val="1"/>
      </w:pPr>
      <w:bookmarkStart w:id="45" w:name="_Toc14313"/>
      <w:r>
        <w:rPr>
          <w:rFonts w:hint="eastAsia" w:ascii="仿宋" w:hAnsi="仿宋" w:eastAsia="仿宋"/>
          <w:sz w:val="32"/>
          <w:szCs w:val="32"/>
        </w:rPr>
        <w:t>（图3：支出决算结构图）（饼状图）</w:t>
      </w:r>
      <w:bookmarkEnd w:id="45"/>
    </w:p>
    <w:p>
      <w:pPr>
        <w:spacing w:line="600" w:lineRule="exact"/>
        <w:ind w:firstLine="640" w:firstLineChars="200"/>
        <w:outlineLvl w:val="1"/>
        <w:rPr>
          <w:rFonts w:ascii="仿宋" w:hAnsi="仿宋" w:eastAsia="仿宋"/>
          <w:sz w:val="32"/>
          <w:szCs w:val="32"/>
          <w:shd w:val="pct10" w:color="auto" w:fill="FFFFFF"/>
        </w:rPr>
      </w:pPr>
      <w:r>
        <w:rPr>
          <w:rFonts w:hint="eastAsia" w:ascii="仿宋" w:hAnsi="仿宋" w:eastAsia="仿宋"/>
          <w:sz w:val="32"/>
          <w:szCs w:val="32"/>
        </w:rPr>
        <w:t xml:space="preserve">  </w:t>
      </w:r>
      <w:bookmarkStart w:id="46" w:name="_Toc4787"/>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bookmarkEnd w:id="46"/>
    </w:p>
    <w:p>
      <w:pPr>
        <w:spacing w:line="600" w:lineRule="exact"/>
        <w:ind w:firstLine="640" w:firstLineChars="200"/>
        <w:outlineLvl w:val="1"/>
        <w:rPr>
          <w:rStyle w:val="26"/>
          <w:rFonts w:ascii="黑体" w:hAnsi="黑体" w:eastAsia="黑体"/>
          <w:b w:val="0"/>
        </w:rPr>
      </w:pPr>
      <w:bookmarkStart w:id="47" w:name="_Toc15377208"/>
      <w:bookmarkStart w:id="48" w:name="_Toc15396606"/>
      <w:bookmarkStart w:id="49" w:name="_Toc5733"/>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47"/>
      <w:bookmarkEnd w:id="48"/>
      <w:bookmarkEnd w:id="49"/>
    </w:p>
    <w:p>
      <w:pPr>
        <w:spacing w:line="600" w:lineRule="exact"/>
        <w:ind w:firstLine="640"/>
        <w:rPr>
          <w:rFonts w:ascii="仿宋" w:hAnsi="仿宋" w:eastAsia="仿宋"/>
          <w:sz w:val="32"/>
          <w:szCs w:val="32"/>
          <w:highlight w:val="green"/>
        </w:rPr>
      </w:pPr>
      <w:r>
        <w:rPr>
          <w:rFonts w:hint="eastAsia" w:ascii="仿宋_GB2312" w:eastAsia="仿宋_GB2312"/>
          <w:kern w:val="0"/>
          <w:sz w:val="32"/>
          <w:szCs w:val="32"/>
        </w:rPr>
        <w:t>2021年财政拨款收、支总计13466.12万元。与2020年相比，财政拨款收、支总计3564.73万元，各增加9901.39万元，增长277.76%。主要变动原因是</w:t>
      </w:r>
      <w:r>
        <w:rPr>
          <w:rFonts w:hint="eastAsia" w:ascii="宋体" w:hAnsi="宋体" w:cs="宋体"/>
          <w:kern w:val="0"/>
          <w:sz w:val="32"/>
          <w:szCs w:val="32"/>
        </w:rPr>
        <w:t>：</w:t>
      </w:r>
      <w:r>
        <w:rPr>
          <w:rFonts w:hint="eastAsia" w:ascii="仿宋_GB2312" w:eastAsia="仿宋_GB2312"/>
          <w:kern w:val="0"/>
          <w:sz w:val="32"/>
          <w:szCs w:val="32"/>
        </w:rPr>
        <w:t>基本支出增加357.10万元，项目支出增加9544.29万元（其中校区</w:t>
      </w:r>
      <w:r>
        <w:rPr>
          <w:rFonts w:hint="eastAsia" w:ascii="宋体" w:hAnsi="宋体" w:cs="宋体"/>
          <w:kern w:val="0"/>
          <w:sz w:val="32"/>
          <w:szCs w:val="32"/>
        </w:rPr>
        <w:t>迁建项目</w:t>
      </w:r>
      <w:r>
        <w:rPr>
          <w:rFonts w:hint="eastAsia" w:ascii="仿宋_GB2312" w:eastAsia="仿宋_GB2312"/>
          <w:kern w:val="0"/>
          <w:sz w:val="32"/>
          <w:szCs w:val="32"/>
        </w:rPr>
        <w:t>支出9140.59万元）。</w:t>
      </w:r>
    </w:p>
    <w:p>
      <w:r>
        <w:drawing>
          <wp:inline distT="0" distB="0" distL="114300" distR="114300">
            <wp:extent cx="4584065" cy="2755265"/>
            <wp:effectExtent l="0" t="0" r="6985" b="698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4584065" cy="2755265"/>
                    </a:xfrm>
                    <a:prstGeom prst="rect">
                      <a:avLst/>
                    </a:prstGeom>
                    <a:noFill/>
                    <a:ln>
                      <a:noFill/>
                    </a:ln>
                  </pic:spPr>
                </pic:pic>
              </a:graphicData>
            </a:graphic>
          </wp:inline>
        </w:drawing>
      </w:r>
    </w:p>
    <w:p>
      <w:pPr>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firstLineChars="200"/>
        <w:outlineLvl w:val="1"/>
        <w:rPr>
          <w:rStyle w:val="26"/>
          <w:rFonts w:ascii="黑体" w:hAnsi="黑体" w:eastAsia="黑体"/>
          <w:b w:val="0"/>
        </w:rPr>
      </w:pPr>
      <w:bookmarkStart w:id="50" w:name="_Toc15377209"/>
      <w:bookmarkStart w:id="51" w:name="_Toc15396607"/>
      <w:bookmarkStart w:id="52" w:name="_Toc1594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50"/>
      <w:bookmarkEnd w:id="51"/>
      <w:bookmarkEnd w:id="52"/>
    </w:p>
    <w:p>
      <w:pPr>
        <w:spacing w:line="600" w:lineRule="exact"/>
        <w:ind w:firstLine="643" w:firstLineChars="200"/>
        <w:outlineLvl w:val="2"/>
        <w:rPr>
          <w:rFonts w:ascii="仿宋" w:hAnsi="仿宋" w:eastAsia="仿宋"/>
          <w:b/>
          <w:sz w:val="32"/>
          <w:szCs w:val="32"/>
        </w:rPr>
      </w:pPr>
      <w:bookmarkStart w:id="53" w:name="_Toc15377210"/>
      <w:bookmarkStart w:id="54" w:name="_Toc8220"/>
      <w:r>
        <w:rPr>
          <w:rFonts w:hint="eastAsia" w:ascii="仿宋" w:hAnsi="仿宋" w:eastAsia="仿宋"/>
          <w:b/>
          <w:sz w:val="32"/>
          <w:szCs w:val="32"/>
        </w:rPr>
        <w:t>（一）一般公共预算财政拨款支出决算总体情况</w:t>
      </w:r>
      <w:bookmarkEnd w:id="53"/>
      <w:bookmarkEnd w:id="54"/>
    </w:p>
    <w:p>
      <w:pPr>
        <w:spacing w:line="600" w:lineRule="exact"/>
        <w:ind w:firstLine="640"/>
        <w:rPr>
          <w:rFonts w:ascii="仿宋_GB2312" w:eastAsia="仿宋_GB2312"/>
          <w:kern w:val="0"/>
          <w:sz w:val="32"/>
          <w:szCs w:val="32"/>
        </w:rPr>
      </w:pPr>
      <w:r>
        <w:rPr>
          <w:rFonts w:hint="eastAsia" w:ascii="仿宋_GB2312" w:eastAsia="仿宋_GB2312"/>
          <w:kern w:val="0"/>
          <w:sz w:val="32"/>
          <w:szCs w:val="32"/>
        </w:rPr>
        <w:t>2021年一般公共预算财政拨款支出13466.12万元，占本年支出合计的91.81%。与2020年相比，一般公共预算财政拨款支出增加9901.39万元，增长277.76%。主要变动原因是</w:t>
      </w:r>
      <w:r>
        <w:rPr>
          <w:rFonts w:hint="eastAsia" w:ascii="宋体" w:hAnsi="宋体" w:cs="宋体"/>
          <w:kern w:val="0"/>
          <w:sz w:val="32"/>
          <w:szCs w:val="32"/>
        </w:rPr>
        <w:t>：</w:t>
      </w:r>
      <w:r>
        <w:rPr>
          <w:rFonts w:hint="eastAsia" w:ascii="仿宋_GB2312" w:eastAsia="仿宋_GB2312"/>
          <w:kern w:val="0"/>
          <w:sz w:val="32"/>
          <w:szCs w:val="32"/>
        </w:rPr>
        <w:t>基本支出增加357.10万元，项目支出增加9544.29万元（其中校区</w:t>
      </w:r>
      <w:r>
        <w:rPr>
          <w:rFonts w:hint="eastAsia" w:ascii="宋体" w:hAnsi="宋体" w:cs="宋体"/>
          <w:kern w:val="0"/>
          <w:sz w:val="32"/>
          <w:szCs w:val="32"/>
        </w:rPr>
        <w:t>迁建项目</w:t>
      </w:r>
      <w:r>
        <w:rPr>
          <w:rFonts w:hint="eastAsia" w:ascii="仿宋_GB2312" w:eastAsia="仿宋_GB2312"/>
          <w:kern w:val="0"/>
          <w:sz w:val="32"/>
          <w:szCs w:val="32"/>
        </w:rPr>
        <w:t>支出9140.59万元）。</w:t>
      </w:r>
    </w:p>
    <w:p>
      <w:r>
        <w:drawing>
          <wp:inline distT="0" distB="0" distL="114300" distR="114300">
            <wp:extent cx="4584065" cy="2755265"/>
            <wp:effectExtent l="0" t="0" r="6985" b="698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584065" cy="2755265"/>
                    </a:xfrm>
                    <a:prstGeom prst="rect">
                      <a:avLst/>
                    </a:prstGeom>
                    <a:noFill/>
                    <a:ln>
                      <a:noFill/>
                    </a:ln>
                  </pic:spPr>
                </pic:pic>
              </a:graphicData>
            </a:graphic>
          </wp:inline>
        </w:drawing>
      </w:r>
    </w:p>
    <w:p>
      <w:pPr>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55" w:name="_Toc15377211"/>
      <w:bookmarkStart w:id="56" w:name="_Toc22225"/>
      <w:r>
        <w:rPr>
          <w:rFonts w:hint="eastAsia" w:ascii="仿宋" w:hAnsi="仿宋" w:eastAsia="仿宋"/>
          <w:b/>
          <w:sz w:val="32"/>
          <w:szCs w:val="32"/>
        </w:rPr>
        <w:t>（二）一般公共预算财政拨款支出决算结构情况</w:t>
      </w:r>
      <w:bookmarkEnd w:id="55"/>
      <w:bookmarkEnd w:id="56"/>
    </w:p>
    <w:p>
      <w:pPr>
        <w:spacing w:line="600" w:lineRule="exact"/>
        <w:ind w:firstLine="640"/>
        <w:rPr>
          <w:rFonts w:ascii="仿宋" w:hAnsi="仿宋" w:eastAsia="仿宋"/>
          <w:sz w:val="32"/>
          <w:szCs w:val="32"/>
        </w:rPr>
      </w:pPr>
      <w:r>
        <w:rPr>
          <w:rFonts w:hint="eastAsia" w:ascii="仿宋_GB2312" w:eastAsia="仿宋_GB2312"/>
          <w:kern w:val="0"/>
          <w:sz w:val="32"/>
          <w:szCs w:val="32"/>
        </w:rPr>
        <w:t>2021年一般公共预算财政拨款支出13466.12万元，主要用于以下方面:</w:t>
      </w:r>
      <w:r>
        <w:rPr>
          <w:rFonts w:hint="eastAsia" w:ascii="仿宋" w:hAnsi="仿宋" w:eastAsia="仿宋"/>
          <w:b/>
          <w:sz w:val="32"/>
          <w:szCs w:val="32"/>
        </w:rPr>
        <w:t>一般公共服务（类）</w:t>
      </w:r>
      <w:r>
        <w:rPr>
          <w:rFonts w:hint="eastAsia" w:ascii="仿宋_GB2312" w:eastAsia="仿宋_GB2312"/>
          <w:kern w:val="0"/>
          <w:sz w:val="32"/>
          <w:szCs w:val="32"/>
        </w:rPr>
        <w:t>支出86.42万元，占0.64%</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_GB2312" w:eastAsia="仿宋_GB2312"/>
          <w:kern w:val="0"/>
          <w:sz w:val="32"/>
          <w:szCs w:val="32"/>
        </w:rPr>
        <w:t>12449.38万元，占92.45%；</w:t>
      </w:r>
      <w:r>
        <w:rPr>
          <w:rFonts w:hint="eastAsia" w:ascii="仿宋" w:hAnsi="仿宋" w:eastAsia="仿宋"/>
          <w:b/>
          <w:sz w:val="32"/>
          <w:szCs w:val="32"/>
        </w:rPr>
        <w:t>科学技术（类）</w:t>
      </w:r>
      <w:r>
        <w:rPr>
          <w:rFonts w:hint="eastAsia" w:ascii="仿宋_GB2312" w:eastAsia="仿宋_GB2312"/>
          <w:kern w:val="0"/>
          <w:sz w:val="32"/>
          <w:szCs w:val="32"/>
        </w:rPr>
        <w:t>支出9.07万元，占0.07%；</w:t>
      </w:r>
      <w:r>
        <w:rPr>
          <w:rFonts w:hint="eastAsia" w:ascii="仿宋" w:hAnsi="仿宋" w:eastAsia="仿宋"/>
          <w:b/>
          <w:sz w:val="32"/>
          <w:szCs w:val="32"/>
        </w:rPr>
        <w:t>社会保障和就业（类）</w:t>
      </w:r>
      <w:r>
        <w:rPr>
          <w:rFonts w:hint="eastAsia" w:ascii="仿宋_GB2312" w:eastAsia="仿宋_GB2312"/>
          <w:kern w:val="0"/>
          <w:sz w:val="32"/>
          <w:szCs w:val="32"/>
        </w:rPr>
        <w:t>支出626.35万元，占4.65%；</w:t>
      </w:r>
      <w:r>
        <w:rPr>
          <w:rFonts w:hint="eastAsia" w:ascii="仿宋" w:hAnsi="仿宋" w:eastAsia="仿宋"/>
          <w:b/>
          <w:bCs/>
          <w:sz w:val="32"/>
          <w:szCs w:val="32"/>
        </w:rPr>
        <w:t>卫生健康支出</w:t>
      </w:r>
      <w:r>
        <w:rPr>
          <w:rFonts w:hint="eastAsia" w:ascii="仿宋" w:hAnsi="仿宋" w:eastAsia="仿宋"/>
          <w:sz w:val="32"/>
          <w:szCs w:val="32"/>
        </w:rPr>
        <w:t>1</w:t>
      </w:r>
      <w:r>
        <w:rPr>
          <w:rFonts w:hint="eastAsia" w:ascii="仿宋_GB2312" w:eastAsia="仿宋_GB2312"/>
          <w:kern w:val="0"/>
          <w:sz w:val="32"/>
          <w:szCs w:val="32"/>
        </w:rPr>
        <w:t>59.90万元，占1.19%；住房保障支出135.00万元，占1.00%。</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w:t>
      </w:r>
    </w:p>
    <w:p>
      <w:pPr>
        <w:rPr>
          <w:rFonts w:ascii="仿宋" w:hAnsi="仿宋" w:eastAsia="仿宋"/>
          <w:sz w:val="32"/>
          <w:szCs w:val="32"/>
        </w:rPr>
      </w:pPr>
      <w:r>
        <w:drawing>
          <wp:inline distT="0" distB="0" distL="114300" distR="114300">
            <wp:extent cx="4584065" cy="2584450"/>
            <wp:effectExtent l="0" t="0" r="6985" b="635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3"/>
                    <a:stretch>
                      <a:fillRect/>
                    </a:stretch>
                  </pic:blipFill>
                  <pic:spPr>
                    <a:xfrm>
                      <a:off x="0" y="0"/>
                      <a:ext cx="4584065" cy="2584450"/>
                    </a:xfrm>
                    <a:prstGeom prst="rect">
                      <a:avLst/>
                    </a:prstGeom>
                    <a:noFill/>
                    <a:ln>
                      <a:noFill/>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57" w:name="_Toc15377212"/>
      <w:bookmarkStart w:id="58" w:name="_Toc9255"/>
      <w:r>
        <w:rPr>
          <w:rFonts w:hint="eastAsia" w:ascii="仿宋" w:hAnsi="仿宋" w:eastAsia="仿宋"/>
          <w:b/>
          <w:sz w:val="32"/>
          <w:szCs w:val="32"/>
        </w:rPr>
        <w:t>（三）一般公共预算财政拨款支出决算具体情况</w:t>
      </w:r>
      <w:bookmarkEnd w:id="57"/>
      <w:bookmarkEnd w:id="58"/>
    </w:p>
    <w:p>
      <w:pPr>
        <w:spacing w:line="600" w:lineRule="exact"/>
        <w:ind w:firstLine="643" w:firstLineChars="200"/>
        <w:outlineLvl w:val="2"/>
        <w:rPr>
          <w:rFonts w:ascii="仿宋" w:hAnsi="仿宋" w:eastAsia="仿宋"/>
          <w:sz w:val="32"/>
          <w:szCs w:val="32"/>
        </w:rPr>
      </w:pPr>
      <w:bookmarkStart w:id="59" w:name="_Toc15377444"/>
      <w:bookmarkStart w:id="60" w:name="_Toc15377213"/>
      <w:bookmarkStart w:id="61" w:name="_Toc15378460"/>
      <w:bookmarkStart w:id="62" w:name="_Toc5621"/>
      <w:r>
        <w:rPr>
          <w:rFonts w:hint="eastAsia" w:ascii="仿宋" w:hAnsi="仿宋" w:eastAsia="仿宋"/>
          <w:b/>
          <w:sz w:val="32"/>
          <w:szCs w:val="32"/>
        </w:rPr>
        <w:t>2021年一般公共预算支出决算数为13466.12万元</w:t>
      </w:r>
      <w:r>
        <w:rPr>
          <w:rFonts w:hint="eastAsia" w:ascii="仿宋" w:hAnsi="仿宋" w:eastAsia="仿宋"/>
          <w:sz w:val="32"/>
          <w:szCs w:val="32"/>
        </w:rPr>
        <w:t>，</w:t>
      </w:r>
      <w:r>
        <w:rPr>
          <w:rStyle w:val="15"/>
          <w:rFonts w:hint="eastAsia" w:ascii="仿宋" w:hAnsi="仿宋" w:eastAsia="仿宋"/>
          <w:bCs/>
          <w:sz w:val="32"/>
          <w:szCs w:val="32"/>
        </w:rPr>
        <w:t>完成预算91.58</w:t>
      </w:r>
      <w:r>
        <w:rPr>
          <w:rStyle w:val="15"/>
          <w:rFonts w:ascii="仿宋" w:hAnsi="仿宋" w:eastAsia="仿宋"/>
          <w:bCs/>
          <w:sz w:val="32"/>
          <w:szCs w:val="32"/>
        </w:rPr>
        <w:t>%</w:t>
      </w:r>
      <w:r>
        <w:rPr>
          <w:rStyle w:val="15"/>
          <w:rFonts w:hint="eastAsia" w:ascii="仿宋" w:hAnsi="仿宋" w:eastAsia="仿宋"/>
          <w:bCs/>
          <w:sz w:val="32"/>
          <w:szCs w:val="32"/>
        </w:rPr>
        <w:t>。其中：</w:t>
      </w:r>
      <w:bookmarkEnd w:id="59"/>
      <w:bookmarkEnd w:id="60"/>
      <w:bookmarkEnd w:id="61"/>
      <w:bookmarkEnd w:id="62"/>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一般公共服务（类）其他一般公共服务支出（款）其他一般公共服务支出（项）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Fonts w:hint="eastAsia" w:ascii="仿宋_GB2312" w:eastAsia="仿宋_GB2312"/>
          <w:kern w:val="0"/>
          <w:sz w:val="32"/>
          <w:szCs w:val="32"/>
        </w:rPr>
        <w:t>支出决算为86.42万元，完成预算94.97%，决算数小于预算数的主要原因是</w:t>
      </w:r>
      <w:r>
        <w:rPr>
          <w:rFonts w:hint="eastAsia" w:ascii="宋体" w:hAnsi="宋体" w:cs="宋体"/>
          <w:kern w:val="0"/>
          <w:sz w:val="32"/>
          <w:szCs w:val="32"/>
        </w:rPr>
        <w:t>：按照厉行节约的原则，</w:t>
      </w:r>
      <w:r>
        <w:rPr>
          <w:rFonts w:hint="eastAsia" w:ascii="仿宋_GB2312" w:eastAsia="仿宋_GB2312"/>
          <w:kern w:val="0"/>
          <w:sz w:val="32"/>
          <w:szCs w:val="32"/>
        </w:rPr>
        <w:t>办公用房维修</w:t>
      </w:r>
      <w:r>
        <w:rPr>
          <w:rFonts w:hint="eastAsia" w:ascii="宋体" w:hAnsi="宋体" w:cs="宋体"/>
          <w:kern w:val="0"/>
          <w:sz w:val="32"/>
          <w:szCs w:val="32"/>
        </w:rPr>
        <w:t>项目</w:t>
      </w:r>
      <w:r>
        <w:rPr>
          <w:rFonts w:hint="eastAsia" w:ascii="仿宋_GB2312" w:eastAsia="仿宋_GB2312"/>
          <w:kern w:val="0"/>
          <w:sz w:val="32"/>
          <w:szCs w:val="32"/>
        </w:rPr>
        <w:t>本年实际结算资金为86.42万元。</w:t>
      </w:r>
    </w:p>
    <w:p>
      <w:pPr>
        <w:spacing w:line="600" w:lineRule="exact"/>
        <w:ind w:firstLine="643" w:firstLineChars="200"/>
        <w:rPr>
          <w:rFonts w:ascii="仿宋_GB2312" w:eastAsia="仿宋_GB2312"/>
          <w:kern w:val="0"/>
          <w:sz w:val="32"/>
          <w:szCs w:val="32"/>
        </w:rPr>
      </w:pPr>
      <w:r>
        <w:rPr>
          <w:rStyle w:val="15"/>
          <w:rFonts w:ascii="仿宋" w:hAnsi="仿宋" w:eastAsia="仿宋"/>
          <w:bCs/>
          <w:sz w:val="32"/>
          <w:szCs w:val="32"/>
        </w:rPr>
        <w:t>2.</w:t>
      </w:r>
      <w:r>
        <w:rPr>
          <w:rStyle w:val="15"/>
          <w:rFonts w:hint="eastAsia" w:ascii="仿宋" w:hAnsi="仿宋" w:eastAsia="仿宋"/>
          <w:bCs/>
          <w:sz w:val="32"/>
          <w:szCs w:val="32"/>
        </w:rPr>
        <w:t>教育（类）进修及培训（款）干部教育（项）</w:t>
      </w:r>
      <w:r>
        <w:rPr>
          <w:rStyle w:val="15"/>
          <w:rFonts w:ascii="仿宋" w:hAnsi="仿宋" w:eastAsia="仿宋"/>
          <w:bCs/>
          <w:sz w:val="32"/>
          <w:szCs w:val="32"/>
        </w:rPr>
        <w:t>:</w:t>
      </w:r>
      <w:r>
        <w:rPr>
          <w:rStyle w:val="15"/>
          <w:rFonts w:ascii="仿宋" w:hAnsi="仿宋" w:eastAsia="仿宋"/>
          <w:b w:val="0"/>
          <w:bCs/>
          <w:sz w:val="32"/>
          <w:szCs w:val="32"/>
        </w:rPr>
        <w:t xml:space="preserve"> </w:t>
      </w:r>
      <w:r>
        <w:rPr>
          <w:rFonts w:hint="eastAsia" w:ascii="仿宋_GB2312" w:eastAsia="仿宋_GB2312"/>
          <w:kern w:val="0"/>
          <w:sz w:val="32"/>
          <w:szCs w:val="32"/>
        </w:rPr>
        <w:t>支出决算为12449.38万元，完成预算91.07%，决算数小于预算数的主要原因是</w:t>
      </w:r>
      <w:r>
        <w:rPr>
          <w:rFonts w:hint="eastAsia" w:ascii="宋体" w:hAnsi="宋体" w:cs="宋体"/>
          <w:kern w:val="0"/>
          <w:sz w:val="32"/>
          <w:szCs w:val="32"/>
        </w:rPr>
        <w:t>：根据项目实施的进度及合同约定，</w:t>
      </w:r>
      <w:r>
        <w:rPr>
          <w:rFonts w:hint="eastAsia" w:ascii="仿宋_GB2312" w:eastAsia="仿宋_GB2312"/>
          <w:kern w:val="0"/>
          <w:sz w:val="32"/>
          <w:szCs w:val="32"/>
        </w:rPr>
        <w:t>校区建设项目</w:t>
      </w:r>
      <w:r>
        <w:rPr>
          <w:rFonts w:hint="eastAsia" w:ascii="宋体" w:hAnsi="宋体" w:cs="宋体"/>
          <w:kern w:val="0"/>
          <w:sz w:val="32"/>
          <w:szCs w:val="32"/>
        </w:rPr>
        <w:t>涉及</w:t>
      </w:r>
      <w:r>
        <w:rPr>
          <w:rFonts w:hint="eastAsia" w:ascii="仿宋_GB2312" w:eastAsia="仿宋_GB2312"/>
          <w:kern w:val="0"/>
          <w:sz w:val="32"/>
          <w:szCs w:val="32"/>
        </w:rPr>
        <w:t>跨年支付。</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3.</w:t>
      </w:r>
      <w:r>
        <w:rPr>
          <w:rStyle w:val="15"/>
          <w:rFonts w:hint="eastAsia" w:ascii="仿宋" w:hAnsi="仿宋" w:eastAsia="仿宋"/>
          <w:bCs/>
          <w:sz w:val="32"/>
          <w:szCs w:val="32"/>
        </w:rPr>
        <w:t>科学技术（类）其他科学技术支出（款）其他科学技术支出（项）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Fonts w:hint="eastAsia" w:ascii="仿宋_GB2312" w:eastAsia="仿宋_GB2312"/>
          <w:kern w:val="0"/>
          <w:sz w:val="32"/>
          <w:szCs w:val="32"/>
        </w:rPr>
        <w:t>支出决算为9.07万元，完成预算56.44%，决算数小于预算数的主要原因是</w:t>
      </w:r>
      <w:r>
        <w:rPr>
          <w:rFonts w:hint="eastAsia" w:ascii="宋体" w:hAnsi="宋体" w:cs="宋体"/>
          <w:kern w:val="0"/>
          <w:sz w:val="32"/>
          <w:szCs w:val="32"/>
        </w:rPr>
        <w:t>：教师科研</w:t>
      </w:r>
      <w:r>
        <w:rPr>
          <w:rFonts w:hint="eastAsia" w:ascii="仿宋_GB2312" w:eastAsia="仿宋_GB2312"/>
          <w:kern w:val="0"/>
          <w:sz w:val="32"/>
          <w:szCs w:val="32"/>
        </w:rPr>
        <w:t>课题</w:t>
      </w:r>
      <w:r>
        <w:rPr>
          <w:rFonts w:hint="eastAsia" w:ascii="宋体" w:hAnsi="宋体" w:cs="宋体"/>
          <w:kern w:val="0"/>
          <w:sz w:val="32"/>
          <w:szCs w:val="32"/>
        </w:rPr>
        <w:t>项目尚未结项，涉及</w:t>
      </w:r>
      <w:r>
        <w:rPr>
          <w:rFonts w:hint="eastAsia" w:ascii="仿宋_GB2312" w:eastAsia="仿宋_GB2312"/>
          <w:kern w:val="0"/>
          <w:sz w:val="32"/>
          <w:szCs w:val="32"/>
        </w:rPr>
        <w:t>跨年支付。</w:t>
      </w:r>
    </w:p>
    <w:p>
      <w:pPr>
        <w:spacing w:line="600" w:lineRule="exact"/>
        <w:ind w:firstLine="643" w:firstLineChars="200"/>
        <w:rPr>
          <w:rStyle w:val="15"/>
          <w:rFonts w:ascii="仿宋" w:hAnsi="仿宋" w:eastAsia="仿宋"/>
          <w:b w:val="0"/>
          <w:bCs/>
          <w:sz w:val="32"/>
          <w:szCs w:val="32"/>
        </w:rPr>
      </w:pPr>
      <w:r>
        <w:rPr>
          <w:rStyle w:val="15"/>
          <w:rFonts w:ascii="仿宋" w:hAnsi="仿宋" w:eastAsia="仿宋"/>
          <w:bCs/>
          <w:sz w:val="32"/>
          <w:szCs w:val="32"/>
        </w:rPr>
        <w:t>4.</w:t>
      </w:r>
      <w:r>
        <w:rPr>
          <w:rStyle w:val="15"/>
          <w:rFonts w:hint="eastAsia" w:ascii="仿宋" w:hAnsi="仿宋" w:eastAsia="仿宋"/>
          <w:bCs/>
          <w:sz w:val="32"/>
          <w:szCs w:val="32"/>
        </w:rPr>
        <w:t>社会保障和就业（类）行政事业单位养老支出（款）行政单位离退休（项）</w:t>
      </w:r>
      <w:r>
        <w:rPr>
          <w:rStyle w:val="15"/>
          <w:rFonts w:ascii="仿宋" w:hAnsi="仿宋" w:eastAsia="仿宋"/>
          <w:bCs/>
          <w:sz w:val="32"/>
          <w:szCs w:val="32"/>
        </w:rPr>
        <w:t>:</w:t>
      </w:r>
      <w:r>
        <w:rPr>
          <w:rStyle w:val="15"/>
          <w:rFonts w:hint="eastAsia" w:ascii="仿宋" w:hAnsi="仿宋" w:eastAsia="仿宋"/>
          <w:b w:val="0"/>
          <w:bCs/>
          <w:sz w:val="32"/>
          <w:szCs w:val="32"/>
        </w:rPr>
        <w:t>支</w:t>
      </w:r>
      <w:r>
        <w:rPr>
          <w:rFonts w:hint="eastAsia" w:ascii="仿宋_GB2312" w:eastAsia="仿宋_GB2312"/>
          <w:kern w:val="0"/>
          <w:sz w:val="32"/>
          <w:szCs w:val="32"/>
        </w:rPr>
        <w:t>出决算为8.38万元，完成预算100%，决算数等于预算数；</w:t>
      </w:r>
      <w:r>
        <w:rPr>
          <w:rStyle w:val="15"/>
          <w:rFonts w:hint="eastAsia" w:ascii="仿宋" w:hAnsi="仿宋" w:eastAsia="仿宋"/>
          <w:bCs/>
          <w:sz w:val="32"/>
          <w:szCs w:val="32"/>
        </w:rPr>
        <w:t>社会保障和就业（类）行政事业单位养老支出（款）事业单位离退休（项）</w:t>
      </w:r>
      <w:r>
        <w:rPr>
          <w:rFonts w:hint="eastAsia" w:ascii="仿宋_GB2312" w:eastAsia="仿宋_GB2312"/>
          <w:kern w:val="0"/>
          <w:sz w:val="32"/>
          <w:szCs w:val="32"/>
        </w:rPr>
        <w:t>支出决算为392.24万元，完成预算98.59%，决算数小于预算数的主要原因是</w:t>
      </w:r>
      <w:r>
        <w:rPr>
          <w:rFonts w:hint="eastAsia" w:ascii="宋体" w:hAnsi="宋体" w:cs="宋体"/>
          <w:kern w:val="0"/>
          <w:sz w:val="32"/>
          <w:szCs w:val="32"/>
        </w:rPr>
        <w:t>：</w:t>
      </w:r>
      <w:r>
        <w:rPr>
          <w:rFonts w:hint="eastAsia" w:ascii="仿宋_GB2312" w:eastAsia="仿宋_GB2312"/>
          <w:kern w:val="0"/>
          <w:sz w:val="32"/>
          <w:szCs w:val="32"/>
        </w:rPr>
        <w:t>其他对个人和家庭的补助</w:t>
      </w:r>
      <w:r>
        <w:rPr>
          <w:rFonts w:hint="eastAsia" w:ascii="宋体" w:hAnsi="宋体" w:cs="宋体"/>
          <w:kern w:val="0"/>
          <w:sz w:val="32"/>
          <w:szCs w:val="32"/>
        </w:rPr>
        <w:t>有结余</w:t>
      </w:r>
      <w:r>
        <w:rPr>
          <w:rFonts w:hint="eastAsia" w:ascii="仿宋_GB2312" w:eastAsia="仿宋_GB2312"/>
          <w:kern w:val="0"/>
          <w:sz w:val="32"/>
          <w:szCs w:val="32"/>
        </w:rPr>
        <w:t>；</w:t>
      </w:r>
      <w:r>
        <w:rPr>
          <w:rStyle w:val="15"/>
          <w:rFonts w:hint="eastAsia" w:ascii="仿宋" w:hAnsi="仿宋" w:eastAsia="仿宋"/>
          <w:bCs/>
          <w:sz w:val="32"/>
          <w:szCs w:val="32"/>
        </w:rPr>
        <w:t>社会保障和就业（类）行政事业单位养老支出（款）机关事业单位基本养老保险缴费支出（项）</w:t>
      </w:r>
      <w:r>
        <w:rPr>
          <w:rStyle w:val="15"/>
          <w:rFonts w:hint="eastAsia" w:ascii="仿宋" w:hAnsi="仿宋" w:eastAsia="仿宋"/>
          <w:b w:val="0"/>
          <w:bCs/>
          <w:sz w:val="32"/>
          <w:szCs w:val="32"/>
        </w:rPr>
        <w:t>支</w:t>
      </w:r>
      <w:r>
        <w:rPr>
          <w:rFonts w:hint="eastAsia" w:ascii="仿宋_GB2312" w:eastAsia="仿宋_GB2312"/>
          <w:kern w:val="0"/>
          <w:sz w:val="32"/>
          <w:szCs w:val="32"/>
        </w:rPr>
        <w:t>出决算为150万元，完成预算100%，决算数等于预算数</w:t>
      </w:r>
      <w:r>
        <w:rPr>
          <w:rStyle w:val="15"/>
          <w:rFonts w:hint="eastAsia" w:ascii="仿宋" w:hAnsi="仿宋" w:eastAsia="仿宋"/>
          <w:b w:val="0"/>
          <w:bCs/>
          <w:sz w:val="32"/>
          <w:szCs w:val="32"/>
        </w:rPr>
        <w:t>；</w:t>
      </w:r>
      <w:r>
        <w:rPr>
          <w:rStyle w:val="15"/>
          <w:rFonts w:hint="eastAsia" w:ascii="仿宋" w:hAnsi="仿宋" w:eastAsia="仿宋"/>
          <w:bCs/>
          <w:sz w:val="32"/>
          <w:szCs w:val="32"/>
        </w:rPr>
        <w:t>社会保障和就业（类）行政事业单位养老支出（款）机关事业单位职业年金缴费支出（项）</w:t>
      </w:r>
      <w:r>
        <w:rPr>
          <w:rFonts w:hint="eastAsia" w:ascii="仿宋_GB2312" w:eastAsia="仿宋_GB2312"/>
          <w:kern w:val="0"/>
          <w:sz w:val="32"/>
          <w:szCs w:val="32"/>
        </w:rPr>
        <w:t>支出决算为75.73万元；，完成预算100%，决算数等于预算数。</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5.</w:t>
      </w:r>
      <w:r>
        <w:rPr>
          <w:rFonts w:hint="eastAsia" w:ascii="仿宋" w:hAnsi="仿宋" w:eastAsia="仿宋"/>
          <w:b/>
          <w:bCs/>
          <w:sz w:val="32"/>
          <w:szCs w:val="32"/>
        </w:rPr>
        <w:t>卫生健康</w:t>
      </w:r>
      <w:r>
        <w:rPr>
          <w:rStyle w:val="15"/>
          <w:rFonts w:hint="eastAsia" w:ascii="仿宋" w:hAnsi="仿宋" w:eastAsia="仿宋"/>
          <w:bCs/>
          <w:sz w:val="32"/>
          <w:szCs w:val="32"/>
        </w:rPr>
        <w:t>（类）行政事业单位医疗（款）事业单位医疗（项）</w:t>
      </w:r>
      <w:r>
        <w:rPr>
          <w:rStyle w:val="15"/>
          <w:rFonts w:ascii="仿宋" w:hAnsi="仿宋" w:eastAsia="仿宋"/>
          <w:bCs/>
          <w:sz w:val="32"/>
          <w:szCs w:val="32"/>
        </w:rPr>
        <w:t>:</w:t>
      </w:r>
      <w:r>
        <w:rPr>
          <w:rFonts w:hint="eastAsia" w:ascii="仿宋_GB2312" w:eastAsia="仿宋_GB2312"/>
          <w:kern w:val="0"/>
          <w:sz w:val="32"/>
          <w:szCs w:val="32"/>
        </w:rPr>
        <w:t>支出决算为122.00万元，完成预算100%，决算数等于预算数；</w:t>
      </w:r>
      <w:r>
        <w:rPr>
          <w:rFonts w:hint="eastAsia" w:ascii="仿宋" w:hAnsi="仿宋" w:eastAsia="仿宋"/>
          <w:b/>
          <w:bCs/>
          <w:sz w:val="32"/>
          <w:szCs w:val="32"/>
        </w:rPr>
        <w:t>卫生健康</w:t>
      </w:r>
      <w:r>
        <w:rPr>
          <w:rStyle w:val="15"/>
          <w:rFonts w:hint="eastAsia" w:ascii="仿宋" w:hAnsi="仿宋" w:eastAsia="仿宋"/>
          <w:bCs/>
          <w:sz w:val="32"/>
          <w:szCs w:val="32"/>
        </w:rPr>
        <w:t>（类）行政事业单位医疗（款）公务员医疗补助（项）</w:t>
      </w:r>
      <w:r>
        <w:rPr>
          <w:rStyle w:val="15"/>
          <w:rFonts w:ascii="仿宋" w:hAnsi="仿宋" w:eastAsia="仿宋"/>
          <w:bCs/>
          <w:sz w:val="32"/>
          <w:szCs w:val="32"/>
        </w:rPr>
        <w:t>:</w:t>
      </w:r>
      <w:r>
        <w:rPr>
          <w:rFonts w:hint="eastAsia" w:ascii="仿宋_GB2312" w:eastAsia="仿宋_GB2312"/>
          <w:kern w:val="0"/>
          <w:sz w:val="32"/>
          <w:szCs w:val="32"/>
        </w:rPr>
        <w:t>支出决算为37.90万元，完成预算100%，决算数等于预算数。</w:t>
      </w:r>
    </w:p>
    <w:p>
      <w:pPr>
        <w:spacing w:line="600" w:lineRule="exact"/>
        <w:ind w:firstLine="643" w:firstLineChars="200"/>
        <w:rPr>
          <w:rFonts w:ascii="仿宋" w:hAnsi="仿宋" w:eastAsia="仿宋"/>
          <w:sz w:val="32"/>
          <w:szCs w:val="32"/>
        </w:rPr>
      </w:pPr>
      <w:r>
        <w:rPr>
          <w:rStyle w:val="15"/>
          <w:rFonts w:ascii="仿宋" w:hAnsi="仿宋" w:eastAsia="仿宋"/>
          <w:bCs/>
          <w:sz w:val="32"/>
          <w:szCs w:val="32"/>
        </w:rPr>
        <w:t>6.</w:t>
      </w:r>
      <w:r>
        <w:rPr>
          <w:rStyle w:val="15"/>
          <w:rFonts w:hint="eastAsia" w:ascii="仿宋" w:hAnsi="仿宋" w:eastAsia="仿宋"/>
          <w:bCs/>
          <w:sz w:val="32"/>
          <w:szCs w:val="32"/>
        </w:rPr>
        <w:t>住房改革支出（类）住房改革支出（款）住房公积金（项）</w:t>
      </w:r>
      <w:r>
        <w:rPr>
          <w:rStyle w:val="15"/>
          <w:rFonts w:ascii="仿宋" w:hAnsi="仿宋" w:eastAsia="仿宋"/>
          <w:bCs/>
          <w:sz w:val="32"/>
          <w:szCs w:val="32"/>
        </w:rPr>
        <w:t>:</w:t>
      </w:r>
      <w:r>
        <w:rPr>
          <w:rStyle w:val="15"/>
          <w:rFonts w:ascii="仿宋" w:hAnsi="仿宋" w:eastAsia="仿宋"/>
          <w:b w:val="0"/>
          <w:bCs/>
          <w:sz w:val="32"/>
          <w:szCs w:val="32"/>
        </w:rPr>
        <w:t xml:space="preserve"> </w:t>
      </w:r>
      <w:r>
        <w:rPr>
          <w:rFonts w:hint="eastAsia" w:ascii="仿宋_GB2312" w:eastAsia="仿宋_GB2312"/>
          <w:kern w:val="0"/>
          <w:sz w:val="32"/>
          <w:szCs w:val="32"/>
        </w:rPr>
        <w:t>支出决算为135.00万元，完成预算100%，决算数等于预算数。</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1-1表和财决08表。上述“预算”口径为调整预算数。增减变动原因为决算数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和调整预算数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6"/>
        </w:rPr>
      </w:pPr>
      <w:bookmarkStart w:id="63" w:name="_Toc15396608"/>
      <w:bookmarkStart w:id="64" w:name="_Toc26767"/>
      <w:bookmarkStart w:id="6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63"/>
      <w:bookmarkEnd w:id="64"/>
      <w:bookmarkEnd w:id="65"/>
      <w:r>
        <w:rPr>
          <w:rStyle w:val="26"/>
          <w:rFonts w:ascii="黑体" w:hAnsi="黑体" w:eastAsia="黑体"/>
          <w:b w:val="0"/>
        </w:rPr>
        <w:tab/>
      </w:r>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2021年一般公共预算财政拨款基本支出3007.18万元，其中：</w:t>
      </w:r>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人员经费2510.31万元，主要包括：基本工资、津贴补贴、奖金、绩效工资、机关事业单位基本养老保险缴费、职业年金缴费、其他社会保障缴费、其他工资福利支出、抚恤金、生活补助、医疗费补助、奖励金、住房公积金、其他对个人和家庭的补助支出等。</w:t>
      </w:r>
      <w:r>
        <w:rPr>
          <w:rFonts w:hint="eastAsia" w:ascii="仿宋_GB2312" w:eastAsia="仿宋_GB2312"/>
          <w:kern w:val="0"/>
          <w:sz w:val="32"/>
          <w:szCs w:val="32"/>
        </w:rPr>
        <w:br w:type="textWrapping"/>
      </w:r>
      <w:r>
        <w:rPr>
          <w:rFonts w:hint="eastAsia" w:ascii="仿宋_GB2312" w:eastAsia="仿宋_GB2312"/>
          <w:kern w:val="0"/>
          <w:sz w:val="32"/>
          <w:szCs w:val="32"/>
        </w:rPr>
        <w:t>　　公用经费496.87万元，主要包括：办公费、印刷费、手续费、水费、电费、邮电费、物业管理费、差旅费、维修（护）费、会议费、培训费、公务接待费、劳务费、工会经费、福利费、公务用车运行维护费、其他交通费、其他商品和服务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w:t>
      </w:r>
    </w:p>
    <w:p>
      <w:pPr>
        <w:spacing w:line="600" w:lineRule="exact"/>
        <w:ind w:firstLine="640"/>
        <w:outlineLvl w:val="1"/>
        <w:rPr>
          <w:rStyle w:val="26"/>
          <w:rFonts w:ascii="黑体" w:hAnsi="黑体" w:eastAsia="黑体"/>
          <w:b w:val="0"/>
        </w:rPr>
      </w:pPr>
      <w:bookmarkStart w:id="66" w:name="_Toc15377215"/>
      <w:bookmarkStart w:id="67" w:name="_Toc6244"/>
      <w:bookmarkStart w:id="68"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66"/>
      <w:bookmarkEnd w:id="67"/>
      <w:bookmarkEnd w:id="68"/>
    </w:p>
    <w:p>
      <w:pPr>
        <w:spacing w:line="600" w:lineRule="exact"/>
        <w:ind w:firstLine="640"/>
        <w:outlineLvl w:val="2"/>
        <w:rPr>
          <w:rFonts w:ascii="仿宋" w:hAnsi="仿宋" w:eastAsia="仿宋"/>
          <w:b/>
          <w:sz w:val="32"/>
          <w:szCs w:val="32"/>
        </w:rPr>
      </w:pPr>
      <w:bookmarkStart w:id="69" w:name="_Toc29419"/>
      <w:bookmarkStart w:id="70" w:name="_Toc15377216"/>
      <w:r>
        <w:rPr>
          <w:rFonts w:hint="eastAsia" w:ascii="仿宋" w:hAnsi="仿宋" w:eastAsia="仿宋"/>
          <w:b/>
          <w:sz w:val="32"/>
          <w:szCs w:val="32"/>
        </w:rPr>
        <w:t>（一）“三公”经费财政拨款支出决算总体情况说明</w:t>
      </w:r>
      <w:bookmarkEnd w:id="69"/>
      <w:bookmarkEnd w:id="70"/>
    </w:p>
    <w:p>
      <w:pPr>
        <w:spacing w:line="600" w:lineRule="exact"/>
        <w:ind w:firstLine="640"/>
        <w:rPr>
          <w:rFonts w:ascii="仿宋" w:hAnsi="仿宋" w:eastAsia="仿宋"/>
          <w:sz w:val="32"/>
          <w:szCs w:val="32"/>
        </w:rPr>
      </w:pPr>
      <w:r>
        <w:rPr>
          <w:rFonts w:hint="eastAsia" w:ascii="仿宋_GB2312" w:eastAsia="仿宋_GB2312"/>
          <w:kern w:val="0"/>
          <w:sz w:val="32"/>
          <w:szCs w:val="32"/>
        </w:rPr>
        <w:t>2021年“三公”经费财政拨款支出决算为6.10万元，完成预算76.25%，决算数小于预算数的主要原因是</w:t>
      </w:r>
      <w:r>
        <w:rPr>
          <w:rFonts w:hint="eastAsia" w:ascii="宋体" w:hAnsi="宋体" w:cs="宋体"/>
          <w:kern w:val="0"/>
          <w:sz w:val="32"/>
          <w:szCs w:val="32"/>
        </w:rPr>
        <w:t>：按照厉行节约的要求，</w:t>
      </w:r>
      <w:r>
        <w:rPr>
          <w:rFonts w:hint="eastAsia" w:ascii="仿宋_GB2312" w:eastAsia="仿宋_GB2312"/>
          <w:kern w:val="0"/>
          <w:sz w:val="32"/>
          <w:szCs w:val="32"/>
        </w:rPr>
        <w:t>公务接待费用支出较少，公务接待财政拨款预算2.00万元，实际支出0.10万元。</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（注：上述“预算”口径为调整预算数。）</w:t>
      </w:r>
    </w:p>
    <w:p>
      <w:pPr>
        <w:spacing w:line="600" w:lineRule="exact"/>
        <w:ind w:firstLine="640"/>
        <w:outlineLvl w:val="2"/>
        <w:rPr>
          <w:rFonts w:ascii="仿宋" w:hAnsi="仿宋" w:eastAsia="仿宋"/>
          <w:b/>
          <w:sz w:val="32"/>
          <w:szCs w:val="32"/>
        </w:rPr>
      </w:pPr>
      <w:bookmarkStart w:id="71" w:name="_Toc17013"/>
      <w:bookmarkStart w:id="72" w:name="_Toc15377217"/>
      <w:r>
        <w:rPr>
          <w:rFonts w:hint="eastAsia" w:ascii="仿宋" w:hAnsi="仿宋" w:eastAsia="仿宋"/>
          <w:b/>
          <w:sz w:val="32"/>
          <w:szCs w:val="32"/>
        </w:rPr>
        <w:t>（二）“三公”经费财政拨款支出决算具体情况说明</w:t>
      </w:r>
      <w:bookmarkEnd w:id="71"/>
      <w:bookmarkEnd w:id="72"/>
    </w:p>
    <w:p>
      <w:pPr>
        <w:spacing w:line="600" w:lineRule="exact"/>
        <w:ind w:firstLine="640"/>
        <w:rPr>
          <w:rFonts w:ascii="仿宋_GB2312" w:eastAsia="仿宋_GB2312"/>
          <w:kern w:val="0"/>
          <w:sz w:val="32"/>
          <w:szCs w:val="32"/>
        </w:rPr>
      </w:pPr>
      <w:r>
        <w:rPr>
          <w:rFonts w:hint="eastAsia" w:ascii="仿宋_GB2312" w:eastAsia="仿宋_GB2312"/>
          <w:kern w:val="0"/>
          <w:sz w:val="32"/>
          <w:szCs w:val="32"/>
        </w:rPr>
        <w:t>2021年“三公”经费财政拨款支出决算中，因公出国（境）费支出决算0万元，占0%；公务用车购置及运行维护费支出决算6.00万元，占98.36%；公务接待费支出决算0.10万元，占1.64%。具体情况如下：</w:t>
      </w:r>
    </w:p>
    <w:p>
      <w:r>
        <w:drawing>
          <wp:inline distT="0" distB="0" distL="114300" distR="114300">
            <wp:extent cx="4584065" cy="2755265"/>
            <wp:effectExtent l="0" t="0" r="6985" b="698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4"/>
                    <a:stretch>
                      <a:fillRect/>
                    </a:stretch>
                  </pic:blipFill>
                  <pic:spPr>
                    <a:xfrm>
                      <a:off x="0" y="0"/>
                      <a:ext cx="4584065" cy="2755265"/>
                    </a:xfrm>
                    <a:prstGeom prst="rect">
                      <a:avLst/>
                    </a:prstGeom>
                    <a:noFill/>
                    <a:ln>
                      <a:noFill/>
                    </a:ln>
                  </pic:spPr>
                </pic:pic>
              </a:graphicData>
            </a:graphic>
          </wp:inline>
        </w:drawing>
      </w:r>
    </w:p>
    <w:p>
      <w:pPr>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kern w:val="0"/>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kern w:val="0"/>
          <w:sz w:val="32"/>
          <w:szCs w:val="32"/>
        </w:rPr>
        <w:t>0万元，完成预算0%。全年安排因公出国（境）团组0次，出国（境）0人。因公出国（境）支出决算与2020年持平。主要原因是</w:t>
      </w:r>
      <w:r>
        <w:rPr>
          <w:rFonts w:hint="eastAsia" w:ascii="宋体" w:hAnsi="宋体" w:cs="宋体"/>
          <w:kern w:val="0"/>
          <w:sz w:val="32"/>
          <w:szCs w:val="32"/>
        </w:rPr>
        <w:t>：</w:t>
      </w:r>
      <w:r>
        <w:rPr>
          <w:rFonts w:hint="eastAsia" w:ascii="仿宋_GB2312" w:eastAsia="仿宋_GB2312"/>
          <w:kern w:val="0"/>
          <w:sz w:val="32"/>
          <w:szCs w:val="32"/>
        </w:rPr>
        <w:t>受新冠疫情影响，2021年省级年初部门预算暂不编列因公出国（境）经费，执行中确需安排出国（境）任务和计划的，按照“一事一议”的方式报省政府批准后安排经费。</w:t>
      </w:r>
    </w:p>
    <w:p>
      <w:pPr>
        <w:spacing w:line="600" w:lineRule="exact"/>
        <w:ind w:firstLine="640"/>
        <w:rPr>
          <w:rFonts w:ascii="仿宋_GB2312" w:eastAsia="仿宋_GB2312"/>
          <w:kern w:val="0"/>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6</w:t>
      </w:r>
      <w:r>
        <w:rPr>
          <w:rFonts w:hint="eastAsia" w:ascii="仿宋_GB2312" w:eastAsia="仿宋_GB2312"/>
          <w:kern w:val="0"/>
          <w:sz w:val="32"/>
          <w:szCs w:val="32"/>
        </w:rPr>
        <w:t>.00万元,完成预算98.36%。公务用车购置及运行维护费支出决算比2020年增加0.30万元，增长5.26%。主要原因是</w:t>
      </w:r>
      <w:r>
        <w:rPr>
          <w:rFonts w:hint="eastAsia" w:ascii="宋体" w:hAnsi="宋体" w:cs="宋体"/>
          <w:kern w:val="0"/>
          <w:sz w:val="32"/>
          <w:szCs w:val="32"/>
        </w:rPr>
        <w:t>：</w:t>
      </w:r>
      <w:r>
        <w:rPr>
          <w:rFonts w:hint="eastAsia" w:ascii="仿宋_GB2312" w:eastAsia="仿宋_GB2312"/>
          <w:kern w:val="0"/>
          <w:sz w:val="32"/>
          <w:szCs w:val="32"/>
        </w:rPr>
        <w:t>公务用车维修费增加。</w:t>
      </w:r>
    </w:p>
    <w:p>
      <w:pPr>
        <w:spacing w:line="600" w:lineRule="exact"/>
        <w:ind w:firstLine="640" w:firstLineChars="200"/>
        <w:rPr>
          <w:rFonts w:ascii="仿宋_GB2312" w:eastAsia="仿宋_GB2312"/>
          <w:kern w:val="0"/>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kern w:val="0"/>
          <w:sz w:val="32"/>
          <w:szCs w:val="32"/>
        </w:rPr>
        <w:t>0万元。全年按规定更新购置公务用车0辆，其中：轿车0辆、金额0万元，越野车0辆、金额0万元，载客汽车0辆、金额0万元。截至2021年12月底，单位共有公务用车6辆，其中：轿车</w:t>
      </w:r>
      <w:r>
        <w:rPr>
          <w:rFonts w:hint="eastAsia" w:ascii="仿宋_GB2312" w:eastAsia="仿宋_GB2312"/>
          <w:kern w:val="0"/>
          <w:sz w:val="32"/>
          <w:szCs w:val="32"/>
          <w:lang w:val="en-US" w:eastAsia="zh-CN"/>
        </w:rPr>
        <w:t>3</w:t>
      </w:r>
      <w:r>
        <w:rPr>
          <w:rFonts w:hint="eastAsia" w:ascii="仿宋_GB2312" w:eastAsia="仿宋_GB2312"/>
          <w:kern w:val="0"/>
          <w:sz w:val="32"/>
          <w:szCs w:val="32"/>
        </w:rPr>
        <w:t>辆、越野车1辆、</w:t>
      </w:r>
      <w:r>
        <w:rPr>
          <w:rFonts w:hint="eastAsia" w:ascii="仿宋_GB2312" w:eastAsia="仿宋_GB2312"/>
          <w:kern w:val="0"/>
          <w:sz w:val="32"/>
          <w:szCs w:val="32"/>
          <w:lang w:eastAsia="zh-CN"/>
        </w:rPr>
        <w:t>小型</w:t>
      </w:r>
      <w:r>
        <w:rPr>
          <w:rFonts w:hint="eastAsia" w:ascii="仿宋_GB2312" w:eastAsia="仿宋_GB2312"/>
          <w:kern w:val="0"/>
          <w:sz w:val="32"/>
          <w:szCs w:val="32"/>
        </w:rPr>
        <w:t>载客汽车1辆</w:t>
      </w:r>
      <w:r>
        <w:rPr>
          <w:rFonts w:hint="eastAsia" w:ascii="仿宋_GB2312" w:eastAsia="仿宋_GB2312"/>
          <w:kern w:val="0"/>
          <w:sz w:val="32"/>
          <w:szCs w:val="32"/>
          <w:lang w:eastAsia="zh-CN"/>
        </w:rPr>
        <w:t>、大中型载客汽车</w:t>
      </w:r>
      <w:r>
        <w:rPr>
          <w:rFonts w:hint="eastAsia" w:ascii="仿宋_GB2312" w:eastAsia="仿宋_GB2312"/>
          <w:kern w:val="0"/>
          <w:sz w:val="32"/>
          <w:szCs w:val="32"/>
          <w:lang w:val="en-US" w:eastAsia="zh-CN"/>
        </w:rPr>
        <w:t>1辆</w:t>
      </w:r>
      <w:r>
        <w:rPr>
          <w:rFonts w:hint="eastAsia" w:ascii="仿宋_GB2312" w:eastAsia="仿宋_GB2312"/>
          <w:kern w:val="0"/>
          <w:sz w:val="32"/>
          <w:szCs w:val="32"/>
        </w:rPr>
        <w:t>。</w:t>
      </w:r>
    </w:p>
    <w:p>
      <w:pPr>
        <w:spacing w:line="600" w:lineRule="exact"/>
        <w:ind w:firstLine="640"/>
        <w:outlineLvl w:val="1"/>
        <w:rPr>
          <w:rFonts w:ascii="仿宋_GB2312" w:eastAsia="仿宋_GB2312"/>
          <w:kern w:val="0"/>
          <w:sz w:val="32"/>
          <w:szCs w:val="32"/>
        </w:rPr>
      </w:pPr>
      <w:bookmarkStart w:id="73" w:name="_Toc7913"/>
      <w:r>
        <w:rPr>
          <w:rFonts w:hint="eastAsia" w:ascii="仿宋_GB2312" w:eastAsia="仿宋_GB2312"/>
          <w:b/>
          <w:sz w:val="32"/>
          <w:szCs w:val="32"/>
        </w:rPr>
        <w:t>公务用车运行维护费支出</w:t>
      </w:r>
      <w:r>
        <w:rPr>
          <w:rFonts w:hint="eastAsia" w:ascii="仿宋_GB2312" w:eastAsia="仿宋_GB2312"/>
          <w:kern w:val="0"/>
          <w:sz w:val="32"/>
          <w:szCs w:val="32"/>
        </w:rPr>
        <w:t>6.00万元。主要用于办公、机要、教学、扶贫、离退休工作等所需的公务用车燃料费、维修费、过路过桥费、保险费等支出。</w:t>
      </w:r>
      <w:bookmarkEnd w:id="73"/>
    </w:p>
    <w:p>
      <w:pPr>
        <w:spacing w:line="600" w:lineRule="exact"/>
        <w:ind w:firstLine="640"/>
        <w:rPr>
          <w:rFonts w:ascii="仿宋_GB2312" w:eastAsia="仿宋_GB2312"/>
          <w:kern w:val="0"/>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kern w:val="0"/>
          <w:sz w:val="32"/>
          <w:szCs w:val="32"/>
        </w:rPr>
        <w:t>0.10万元，完成预算5%。公务接待费支出决算比2020年增加0.01万元，增长11.11%。主要原因是接待人数增加。其中：</w:t>
      </w:r>
    </w:p>
    <w:p>
      <w:pPr>
        <w:spacing w:line="600" w:lineRule="exact"/>
        <w:ind w:firstLine="640"/>
        <w:rPr>
          <w:rFonts w:hint="eastAsia" w:ascii="仿宋_GB2312" w:eastAsia="仿宋_GB2312"/>
          <w:kern w:val="0"/>
          <w:sz w:val="32"/>
          <w:szCs w:val="32"/>
        </w:rPr>
      </w:pPr>
      <w:r>
        <w:rPr>
          <w:rFonts w:hint="eastAsia" w:ascii="仿宋" w:hAnsi="仿宋" w:eastAsia="仿宋"/>
          <w:b/>
          <w:sz w:val="32"/>
          <w:szCs w:val="32"/>
        </w:rPr>
        <w:t>国内公务接待支出</w:t>
      </w:r>
      <w:r>
        <w:rPr>
          <w:rFonts w:hint="eastAsia" w:ascii="仿宋_GB2312" w:eastAsia="仿宋_GB2312"/>
          <w:kern w:val="0"/>
          <w:sz w:val="32"/>
          <w:szCs w:val="32"/>
        </w:rPr>
        <w:t>0.10万元，主要用于党校系统内其他省市来我校开展调研学习开支的餐费。国内公务接待1批次，6人次（不包括陪同人员），共计支出0.10万元，具体内容包括：接待省内党校系统的同志</w:t>
      </w:r>
      <w:bookmarkStart w:id="139" w:name="_GoBack"/>
      <w:bookmarkEnd w:id="139"/>
      <w:r>
        <w:rPr>
          <w:rFonts w:hint="eastAsia" w:ascii="仿宋_GB2312" w:eastAsia="仿宋_GB2312"/>
          <w:kern w:val="0"/>
          <w:sz w:val="32"/>
          <w:szCs w:val="32"/>
        </w:rPr>
        <w:t>来我校调研干部培训和党性教育基地建设交流等情况餐费0.10万元。</w:t>
      </w:r>
    </w:p>
    <w:p>
      <w:pPr>
        <w:spacing w:line="600" w:lineRule="exact"/>
        <w:ind w:firstLine="643" w:firstLineChars="200"/>
        <w:rPr>
          <w:rFonts w:ascii="仿宋_GB2312" w:eastAsia="仿宋_GB2312"/>
          <w:kern w:val="0"/>
          <w:sz w:val="32"/>
          <w:szCs w:val="32"/>
        </w:rPr>
      </w:pPr>
      <w:r>
        <w:rPr>
          <w:rFonts w:hint="eastAsia" w:ascii="仿宋" w:hAnsi="仿宋" w:eastAsia="仿宋"/>
          <w:b/>
          <w:sz w:val="32"/>
          <w:szCs w:val="32"/>
        </w:rPr>
        <w:t>外事接待支出</w:t>
      </w:r>
      <w:r>
        <w:rPr>
          <w:rFonts w:hint="eastAsia" w:ascii="仿宋_GB2312" w:eastAsia="仿宋_GB2312"/>
          <w:kern w:val="0"/>
          <w:sz w:val="32"/>
          <w:szCs w:val="32"/>
        </w:rPr>
        <w:t>0万元，外事接待0批次，0人，共计支出0万元。</w:t>
      </w:r>
      <w:bookmarkStart w:id="74" w:name="_Toc15377218"/>
      <w:bookmarkStart w:id="75" w:name="_Toc15396610"/>
    </w:p>
    <w:p>
      <w:pPr>
        <w:spacing w:line="600" w:lineRule="exact"/>
        <w:ind w:firstLine="640"/>
        <w:outlineLvl w:val="1"/>
        <w:rPr>
          <w:rStyle w:val="26"/>
          <w:rFonts w:ascii="黑体" w:hAnsi="黑体" w:eastAsia="黑体"/>
        </w:rPr>
      </w:pPr>
      <w:bookmarkStart w:id="76" w:name="_Toc12038"/>
      <w:r>
        <w:rPr>
          <w:rFonts w:hint="eastAsia" w:ascii="黑体" w:eastAsia="黑体"/>
          <w:sz w:val="32"/>
          <w:szCs w:val="32"/>
        </w:rPr>
        <w:t>八、</w:t>
      </w:r>
      <w:r>
        <w:rPr>
          <w:rStyle w:val="26"/>
          <w:rFonts w:hint="eastAsia" w:ascii="黑体" w:hAnsi="黑体" w:eastAsia="黑体"/>
          <w:b w:val="0"/>
        </w:rPr>
        <w:t>政府性基金预算支出决算情况说明</w:t>
      </w:r>
      <w:bookmarkEnd w:id="74"/>
      <w:bookmarkEnd w:id="75"/>
      <w:bookmarkEnd w:id="76"/>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2021年政府性基金预算财政拨款支出0万元。</w:t>
      </w:r>
    </w:p>
    <w:p>
      <w:pPr>
        <w:numPr>
          <w:ilvl w:val="0"/>
          <w:numId w:val="2"/>
        </w:numPr>
        <w:spacing w:line="600" w:lineRule="exact"/>
        <w:ind w:firstLine="640"/>
        <w:outlineLvl w:val="1"/>
        <w:rPr>
          <w:rStyle w:val="26"/>
          <w:rFonts w:ascii="黑体" w:hAnsi="黑体" w:eastAsia="黑体"/>
          <w:b w:val="0"/>
        </w:rPr>
      </w:pPr>
      <w:bookmarkStart w:id="77" w:name="_Toc15396611"/>
      <w:bookmarkStart w:id="78" w:name="_Toc15377219"/>
      <w:bookmarkStart w:id="79" w:name="_Toc14895"/>
      <w:r>
        <w:rPr>
          <w:rStyle w:val="26"/>
          <w:rFonts w:hint="eastAsia" w:ascii="黑体" w:hAnsi="黑体" w:eastAsia="黑体"/>
          <w:b w:val="0"/>
        </w:rPr>
        <w:t>国有资本经营预算支出决算情况说明</w:t>
      </w:r>
      <w:bookmarkEnd w:id="77"/>
      <w:bookmarkEnd w:id="78"/>
      <w:bookmarkEnd w:id="79"/>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2021年国有资本经营预算财政拨款支出0万元。</w:t>
      </w:r>
    </w:p>
    <w:p>
      <w:pPr>
        <w:numPr>
          <w:ilvl w:val="0"/>
          <w:numId w:val="2"/>
        </w:numPr>
        <w:spacing w:line="600" w:lineRule="exact"/>
        <w:ind w:firstLine="640"/>
        <w:outlineLvl w:val="1"/>
        <w:rPr>
          <w:rStyle w:val="26"/>
          <w:rFonts w:ascii="黑体" w:hAnsi="黑体" w:eastAsia="黑体"/>
          <w:b w:val="0"/>
        </w:rPr>
      </w:pPr>
      <w:bookmarkStart w:id="80" w:name="_Toc15396612"/>
      <w:bookmarkStart w:id="81" w:name="_Toc15377221"/>
      <w:bookmarkStart w:id="82" w:name="_Toc8801"/>
      <w:r>
        <w:rPr>
          <w:rStyle w:val="26"/>
          <w:rFonts w:hint="eastAsia" w:ascii="黑体" w:hAnsi="黑体" w:eastAsia="黑体"/>
          <w:b w:val="0"/>
        </w:rPr>
        <w:t>其他重要事项的情况说明</w:t>
      </w:r>
      <w:bookmarkEnd w:id="80"/>
      <w:bookmarkEnd w:id="81"/>
      <w:bookmarkEnd w:id="82"/>
    </w:p>
    <w:p>
      <w:pPr>
        <w:spacing w:line="600" w:lineRule="exact"/>
        <w:ind w:firstLine="643" w:firstLineChars="200"/>
        <w:outlineLvl w:val="2"/>
        <w:rPr>
          <w:rFonts w:ascii="仿宋" w:hAnsi="仿宋" w:eastAsia="仿宋"/>
          <w:sz w:val="32"/>
          <w:szCs w:val="32"/>
        </w:rPr>
      </w:pPr>
      <w:bookmarkStart w:id="83" w:name="_Toc22584"/>
      <w:bookmarkStart w:id="84" w:name="_Toc15377222"/>
      <w:r>
        <w:rPr>
          <w:rFonts w:hint="eastAsia" w:ascii="仿宋" w:hAnsi="仿宋" w:eastAsia="仿宋"/>
          <w:b/>
          <w:sz w:val="32"/>
          <w:szCs w:val="32"/>
        </w:rPr>
        <w:t>（一）机关运行经费支出情况</w:t>
      </w:r>
      <w:bookmarkEnd w:id="83"/>
      <w:bookmarkEnd w:id="84"/>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2021年，中共四川省委省直机关党校机关运行经费支出496.87万元，比2020年减少2.98万元，下降0.60%。主要原因是</w:t>
      </w:r>
      <w:r>
        <w:rPr>
          <w:rFonts w:hint="eastAsia" w:ascii="宋体" w:hAnsi="宋体" w:cs="宋体"/>
          <w:kern w:val="0"/>
          <w:sz w:val="32"/>
          <w:szCs w:val="32"/>
        </w:rPr>
        <w:t>：</w:t>
      </w:r>
      <w:r>
        <w:rPr>
          <w:rFonts w:hint="eastAsia" w:ascii="仿宋_GB2312" w:eastAsia="仿宋_GB2312"/>
          <w:kern w:val="0"/>
          <w:sz w:val="32"/>
          <w:szCs w:val="32"/>
        </w:rPr>
        <w:t>按财政压减一般性支出的要求，我校减少了会议、培训等一般性支出。</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5" w:name="_Toc15377223"/>
      <w:bookmarkStart w:id="86" w:name="_Toc2335"/>
      <w:r>
        <w:rPr>
          <w:rFonts w:hint="eastAsia" w:ascii="仿宋" w:hAnsi="仿宋" w:eastAsia="仿宋"/>
          <w:b/>
          <w:sz w:val="32"/>
          <w:szCs w:val="32"/>
        </w:rPr>
        <w:t>（二）政府采购支出情况</w:t>
      </w:r>
      <w:bookmarkEnd w:id="85"/>
      <w:bookmarkEnd w:id="86"/>
    </w:p>
    <w:p>
      <w:pPr>
        <w:spacing w:line="600" w:lineRule="exact"/>
        <w:ind w:firstLine="640" w:firstLineChars="200"/>
        <w:rPr>
          <w:rFonts w:ascii="仿宋_GB2312" w:eastAsia="仿宋_GB2312"/>
          <w:sz w:val="32"/>
          <w:szCs w:val="32"/>
        </w:rPr>
      </w:pPr>
      <w:r>
        <w:rPr>
          <w:rFonts w:hint="eastAsia" w:ascii="仿宋_GB2312" w:eastAsia="仿宋_GB2312"/>
          <w:kern w:val="0"/>
          <w:sz w:val="32"/>
          <w:szCs w:val="32"/>
        </w:rPr>
        <w:t>2021年，中共四川省委省直机关党校政府采购支出总额802.14万元，其中：政府采购货物支出89.45万元、政府采购工程支出86.42万元、政府采购服务支出626.27万元。主要用于智慧校园建设、采购物管服务、采购学员食堂食材、购买办公设备设施等。授予中小企业合同金额837.64万元，占政府采购支出总额的58.07%，其中：授予小微企业合同金额506.72万元，占政府采购支出总额的35.13%。</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7" w:name="_Toc15377224"/>
      <w:bookmarkStart w:id="88" w:name="_Toc26131"/>
      <w:r>
        <w:rPr>
          <w:rFonts w:hint="eastAsia" w:ascii="仿宋" w:hAnsi="仿宋" w:eastAsia="仿宋"/>
          <w:b/>
          <w:sz w:val="32"/>
          <w:szCs w:val="32"/>
        </w:rPr>
        <w:t>（三）国有资产占有使用情况</w:t>
      </w:r>
      <w:bookmarkEnd w:id="87"/>
      <w:bookmarkEnd w:id="8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kern w:val="0"/>
          <w:sz w:val="32"/>
          <w:szCs w:val="32"/>
          <w:highlight w:val="none"/>
        </w:rPr>
        <w:t>截至2021年12月31日，中共四川省委省直机关党校共有车辆6辆，其中：主要领导干部用车0辆、机要通信用车</w:t>
      </w:r>
      <w:r>
        <w:rPr>
          <w:rFonts w:hint="eastAsia" w:ascii="仿宋_GB2312" w:eastAsia="仿宋_GB2312"/>
          <w:kern w:val="0"/>
          <w:sz w:val="32"/>
          <w:szCs w:val="32"/>
          <w:highlight w:val="none"/>
          <w:lang w:val="en-US" w:eastAsia="zh-CN"/>
        </w:rPr>
        <w:t>1</w:t>
      </w:r>
      <w:r>
        <w:rPr>
          <w:rFonts w:hint="eastAsia" w:ascii="仿宋_GB2312" w:eastAsia="仿宋_GB2312"/>
          <w:kern w:val="0"/>
          <w:sz w:val="32"/>
          <w:szCs w:val="32"/>
          <w:highlight w:val="none"/>
        </w:rPr>
        <w:t>辆、应急保障用车</w:t>
      </w:r>
      <w:r>
        <w:rPr>
          <w:rFonts w:hint="eastAsia" w:ascii="仿宋_GB2312" w:eastAsia="仿宋_GB2312"/>
          <w:kern w:val="0"/>
          <w:sz w:val="32"/>
          <w:szCs w:val="32"/>
          <w:highlight w:val="none"/>
          <w:lang w:val="en-US" w:eastAsia="zh-CN"/>
        </w:rPr>
        <w:t>2</w:t>
      </w:r>
      <w:r>
        <w:rPr>
          <w:rFonts w:hint="eastAsia" w:ascii="仿宋_GB2312" w:eastAsia="仿宋_GB2312"/>
          <w:kern w:val="0"/>
          <w:sz w:val="32"/>
          <w:szCs w:val="32"/>
          <w:highlight w:val="none"/>
        </w:rPr>
        <w:t>辆、</w:t>
      </w:r>
      <w:r>
        <w:rPr>
          <w:rFonts w:hint="eastAsia" w:ascii="仿宋_GB2312" w:eastAsia="仿宋_GB2312"/>
          <w:kern w:val="0"/>
          <w:sz w:val="32"/>
          <w:szCs w:val="32"/>
          <w:highlight w:val="none"/>
          <w:lang w:eastAsia="zh-CN"/>
        </w:rPr>
        <w:t>离退休干部用车</w:t>
      </w:r>
      <w:r>
        <w:rPr>
          <w:rFonts w:hint="eastAsia" w:ascii="仿宋_GB2312" w:eastAsia="仿宋_GB2312"/>
          <w:kern w:val="0"/>
          <w:sz w:val="32"/>
          <w:szCs w:val="32"/>
          <w:highlight w:val="none"/>
          <w:lang w:val="en-US" w:eastAsia="zh-CN"/>
        </w:rPr>
        <w:t>3辆</w:t>
      </w:r>
      <w:r>
        <w:rPr>
          <w:rFonts w:hint="eastAsia" w:ascii="仿宋_GB2312" w:eastAsia="仿宋_GB2312"/>
          <w:kern w:val="0"/>
          <w:sz w:val="32"/>
          <w:szCs w:val="32"/>
          <w:highlight w:val="none"/>
        </w:rPr>
        <w:t>。单价50万元以上通用设备</w:t>
      </w:r>
      <w:r>
        <w:rPr>
          <w:rFonts w:hint="eastAsia" w:ascii="仿宋_GB2312" w:eastAsia="仿宋_GB2312"/>
          <w:kern w:val="0"/>
          <w:sz w:val="32"/>
          <w:szCs w:val="32"/>
          <w:highlight w:val="none"/>
          <w:lang w:val="en-US" w:eastAsia="zh-CN"/>
        </w:rPr>
        <w:t>1</w:t>
      </w:r>
      <w:r>
        <w:rPr>
          <w:rFonts w:hint="eastAsia" w:ascii="仿宋_GB2312" w:eastAsia="仿宋_GB2312"/>
          <w:kern w:val="0"/>
          <w:sz w:val="32"/>
          <w:szCs w:val="32"/>
          <w:highlight w:val="none"/>
        </w:rPr>
        <w:t>台（套），单价100万元以上专用设备0</w:t>
      </w:r>
      <w:r>
        <w:rPr>
          <w:rFonts w:hint="eastAsia" w:ascii="仿宋_GB2312" w:eastAsia="仿宋_GB2312"/>
          <w:kern w:val="0"/>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9" w:name="_Toc2923"/>
      <w:r>
        <w:rPr>
          <w:rFonts w:hint="eastAsia" w:ascii="仿宋" w:hAnsi="仿宋" w:eastAsia="仿宋"/>
          <w:b/>
          <w:sz w:val="32"/>
          <w:szCs w:val="32"/>
        </w:rPr>
        <w:t>（四）预算绩效管理情况</w:t>
      </w:r>
      <w:bookmarkEnd w:id="89"/>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根据预算绩效管理要求，本部门在2021年度预算编制阶段，组织对“学历教育、干部培训及食宿补助经费”、“科研和学科建设经费”2个项目开展了预算事前绩效评估，</w:t>
      </w:r>
      <w:r>
        <w:rPr>
          <w:rFonts w:hint="eastAsia" w:ascii="宋体" w:hAnsi="宋体" w:cs="宋体"/>
          <w:kern w:val="0"/>
          <w:sz w:val="32"/>
          <w:szCs w:val="32"/>
        </w:rPr>
        <w:t>对</w:t>
      </w:r>
      <w:r>
        <w:rPr>
          <w:rFonts w:hint="eastAsia" w:ascii="仿宋_GB2312" w:eastAsia="仿宋_GB2312"/>
          <w:kern w:val="0"/>
          <w:sz w:val="32"/>
          <w:szCs w:val="32"/>
        </w:rPr>
        <w:t>2</w:t>
      </w:r>
      <w:r>
        <w:rPr>
          <w:rFonts w:hint="eastAsia" w:ascii="宋体" w:hAnsi="宋体" w:cs="宋体"/>
          <w:kern w:val="0"/>
          <w:sz w:val="32"/>
          <w:szCs w:val="32"/>
        </w:rPr>
        <w:t>个项目</w:t>
      </w:r>
      <w:r>
        <w:rPr>
          <w:rFonts w:hint="eastAsia" w:ascii="仿宋_GB2312" w:eastAsia="仿宋_GB2312"/>
          <w:kern w:val="0"/>
          <w:sz w:val="32"/>
          <w:szCs w:val="32"/>
        </w:rPr>
        <w:t>编制了绩效目标，预算执行过程中，</w:t>
      </w:r>
      <w:r>
        <w:rPr>
          <w:rFonts w:hint="eastAsia" w:ascii="宋体" w:hAnsi="宋体" w:cs="宋体"/>
          <w:kern w:val="0"/>
          <w:sz w:val="32"/>
          <w:szCs w:val="32"/>
        </w:rPr>
        <w:t>选取</w:t>
      </w:r>
      <w:r>
        <w:rPr>
          <w:rFonts w:hint="eastAsia" w:ascii="仿宋_GB2312" w:eastAsia="仿宋_GB2312"/>
          <w:kern w:val="0"/>
          <w:sz w:val="32"/>
          <w:szCs w:val="32"/>
        </w:rPr>
        <w:t>2</w:t>
      </w:r>
      <w:r>
        <w:rPr>
          <w:rFonts w:hint="eastAsia" w:ascii="宋体" w:hAnsi="宋体" w:cs="宋体"/>
          <w:kern w:val="0"/>
          <w:sz w:val="32"/>
          <w:szCs w:val="32"/>
        </w:rPr>
        <w:t>个项目</w:t>
      </w:r>
      <w:r>
        <w:rPr>
          <w:rFonts w:hint="eastAsia" w:ascii="仿宋_GB2312" w:eastAsia="仿宋_GB2312"/>
          <w:kern w:val="0"/>
          <w:sz w:val="32"/>
          <w:szCs w:val="32"/>
        </w:rPr>
        <w:t>开展绩效监控，年终执行完毕后，对2</w:t>
      </w:r>
      <w:r>
        <w:rPr>
          <w:rFonts w:hint="eastAsia" w:ascii="宋体" w:hAnsi="宋体" w:cs="宋体"/>
          <w:kern w:val="0"/>
          <w:sz w:val="32"/>
          <w:szCs w:val="32"/>
        </w:rPr>
        <w:t>个项目</w:t>
      </w:r>
      <w:r>
        <w:rPr>
          <w:rFonts w:hint="eastAsia" w:ascii="仿宋_GB2312" w:eastAsia="仿宋_GB2312"/>
          <w:kern w:val="0"/>
          <w:sz w:val="32"/>
          <w:szCs w:val="32"/>
        </w:rPr>
        <w:t>开展了绩效自评。同时，本部门对2021年部门整体开展绩效自评，《2021年中共四川省委省直机关党校部门整体绩效评价报告》见附件（第四部分）。</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90" w:name="_Toc15377225"/>
      <w:bookmarkStart w:id="91" w:name="_Toc15396613"/>
      <w:bookmarkStart w:id="92" w:name="_Toc1334"/>
      <w:r>
        <w:rPr>
          <w:rFonts w:hint="eastAsia" w:ascii="黑体" w:hAnsi="黑体" w:eastAsia="黑体"/>
          <w:sz w:val="44"/>
          <w:szCs w:val="44"/>
        </w:rPr>
        <w:t>名</w:t>
      </w:r>
      <w:r>
        <w:rPr>
          <w:rStyle w:val="25"/>
          <w:rFonts w:hint="eastAsia" w:ascii="黑体" w:hAnsi="黑体" w:eastAsia="黑体"/>
          <w:b w:val="0"/>
        </w:rPr>
        <w:t>词解释</w:t>
      </w:r>
      <w:bookmarkEnd w:id="90"/>
      <w:bookmarkEnd w:id="91"/>
      <w:bookmarkEnd w:id="92"/>
    </w:p>
    <w:p>
      <w:pPr>
        <w:autoSpaceDE w:val="0"/>
        <w:autoSpaceDN w:val="0"/>
        <w:adjustRightInd w:val="0"/>
        <w:spacing w:line="600" w:lineRule="exact"/>
        <w:ind w:firstLine="640" w:firstLineChars="200"/>
        <w:jc w:val="left"/>
        <w:rPr>
          <w:rFonts w:ascii="仿宋_GB2312" w:eastAsia="仿宋_GB2312"/>
          <w:kern w:val="0"/>
          <w:sz w:val="32"/>
          <w:szCs w:val="32"/>
        </w:rPr>
      </w:pP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1.财政拨款收入：指单位从同级财政部门取得的财政预算资金。</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2.事业收入：指事业单位开展专业业务活动及辅助活动取得的收入。</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3.经营收入：指事业单位在专业业务活动及其辅助活动之外开展非独立核算经营活动取得的收入。</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4.其他收入：指单位取得的除上述收入以外的各项收入。主要是主要是计划外短期培训收入、期刊版权收入、离休干部医疗补助收入、个税手续费返还、调整往来款转收入等。 </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5.使用非财政拨款结余：指事业单位使用以前年度积累的非财政拨款结余弥补当年收支差额的金额。 </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6.年初结转和结余：指以前年度尚未完成、结转到本年按有关规定继续使用的资金。 </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7.结余分配：指事业单位按照会计制度规定缴纳的所得税、提取的专用结余以及转入非财政拨款结余的金额等。</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8、年末结转和结余：指单位按有关规定结转到下年或以后年度继续使用的资金。</w:t>
      </w:r>
    </w:p>
    <w:p>
      <w:pPr>
        <w:autoSpaceDE w:val="0"/>
        <w:autoSpaceDN w:val="0"/>
        <w:adjustRightInd w:val="0"/>
        <w:spacing w:line="600" w:lineRule="exact"/>
        <w:ind w:firstLine="640" w:firstLineChars="200"/>
        <w:rPr>
          <w:rFonts w:ascii="仿宋_GB2312" w:eastAsia="仿宋_GB2312"/>
          <w:kern w:val="0"/>
          <w:sz w:val="32"/>
          <w:szCs w:val="32"/>
        </w:rPr>
      </w:pPr>
      <w:bookmarkStart w:id="93" w:name="_Toc16145"/>
      <w:r>
        <w:rPr>
          <w:rFonts w:hint="eastAsia" w:ascii="仿宋_GB2312" w:eastAsia="仿宋_GB2312"/>
          <w:kern w:val="0"/>
          <w:sz w:val="32"/>
          <w:szCs w:val="32"/>
        </w:rPr>
        <w:t>9.一般公共服务（类）其他一般公共服务支出（款）其他一般公共服务支出（项）：指指反映除上述项目以外的其他一般公共服务支出。</w:t>
      </w:r>
      <w:bookmarkEnd w:id="93"/>
    </w:p>
    <w:p>
      <w:pPr>
        <w:autoSpaceDE w:val="0"/>
        <w:autoSpaceDN w:val="0"/>
        <w:adjustRightInd w:val="0"/>
        <w:spacing w:line="600" w:lineRule="exact"/>
        <w:ind w:firstLine="640" w:firstLineChars="200"/>
        <w:rPr>
          <w:rFonts w:ascii="仿宋_GB2312" w:eastAsia="仿宋_GB2312"/>
          <w:kern w:val="0"/>
          <w:sz w:val="32"/>
          <w:szCs w:val="32"/>
        </w:rPr>
      </w:pPr>
      <w:bookmarkStart w:id="94" w:name="_Toc11708"/>
      <w:r>
        <w:rPr>
          <w:rFonts w:hint="eastAsia" w:ascii="仿宋_GB2312" w:eastAsia="仿宋_GB2312"/>
          <w:kern w:val="0"/>
          <w:sz w:val="32"/>
          <w:szCs w:val="32"/>
        </w:rPr>
        <w:t>10.教育（类）进修及培训（款）干部教育（项）：指反映各级党校、行政学院、社会主义学院、国家会计学院的支出。包括机构运转、招聘师资、举办各类培训班的支出等。</w:t>
      </w:r>
      <w:bookmarkEnd w:id="94"/>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11.科学技术（类）其他科学技术支出（款）其他科学技术支出（项）：指反映其他科学技术支出中除以上各项外用于科技方面的支出。</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12.社会保障和就业（类）行政事业单位养老支出（款）行政单位离退休（项）：指反映行政单位（包括实行公务员管理的事业单位）开支的离退休经费。</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13.社会保障和就业（类）行政事业单位养老支出（款）事业单位离退休（项）：指反映事业单位开支的离退休经费。</w:t>
      </w:r>
    </w:p>
    <w:p>
      <w:pPr>
        <w:autoSpaceDE w:val="0"/>
        <w:autoSpaceDN w:val="0"/>
        <w:adjustRightInd w:val="0"/>
        <w:spacing w:line="600" w:lineRule="exact"/>
        <w:ind w:firstLine="640" w:firstLineChars="200"/>
        <w:rPr>
          <w:rFonts w:ascii="仿宋_GB2312" w:eastAsia="仿宋_GB2312"/>
          <w:kern w:val="0"/>
          <w:sz w:val="32"/>
          <w:szCs w:val="32"/>
        </w:rPr>
      </w:pPr>
      <w:bookmarkStart w:id="95" w:name="_Toc5942"/>
      <w:r>
        <w:rPr>
          <w:rFonts w:hint="eastAsia" w:ascii="仿宋_GB2312" w:eastAsia="仿宋_GB2312"/>
          <w:kern w:val="0"/>
          <w:sz w:val="32"/>
          <w:szCs w:val="32"/>
        </w:rPr>
        <w:t>14.社会保障和就业（类）行政事业单位养老支出（款）机关事业单位基本养老养老保险缴费支出（项）：指反映机关事业单位实施养老保险制度由单位缴纳的基本养老保险费支出。</w:t>
      </w:r>
      <w:bookmarkEnd w:id="95"/>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15.社会保障和就业（类）行政事业单位养老支出（款）机关事业单位职业年金缴费支出（项）：指反映机关事业单位实施养老保险制度由单位实际缴纳的职业年金支出。</w:t>
      </w:r>
    </w:p>
    <w:p>
      <w:pPr>
        <w:autoSpaceDE w:val="0"/>
        <w:autoSpaceDN w:val="0"/>
        <w:adjustRightInd w:val="0"/>
        <w:spacing w:line="600" w:lineRule="exact"/>
        <w:ind w:firstLine="640" w:firstLineChars="200"/>
        <w:rPr>
          <w:rFonts w:ascii="仿宋_GB2312" w:eastAsia="仿宋_GB2312"/>
          <w:kern w:val="0"/>
          <w:sz w:val="32"/>
          <w:szCs w:val="32"/>
        </w:rPr>
      </w:pPr>
      <w:bookmarkStart w:id="96" w:name="_Toc23499"/>
      <w:r>
        <w:rPr>
          <w:rFonts w:hint="eastAsia" w:ascii="仿宋_GB2312" w:eastAsia="仿宋_GB2312"/>
          <w:kern w:val="0"/>
          <w:sz w:val="32"/>
          <w:szCs w:val="32"/>
        </w:rPr>
        <w:t>16.社会保障和就业（类）抚恤（款）死亡抚恤（项）：指反映按规定用于烈士和牺牲、病故人员家属的一次性和定期抚恤金、丧葬补助费以及烈士褒扬金。</w:t>
      </w:r>
      <w:bookmarkEnd w:id="96"/>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17.社会保障和就业（类）其他社会保障和就业支出（款）其他社会保障和就业支出（项）：指反映除上述项目以外其他用于社会保障和就业方面的支出。</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18.医疗卫生与计划生育（类）行政事业单位医疗（款）行政单位医疗（项）：指反映财政部门安排的行政单位（包括实行公务员管理的事业单位，下同）基本医疗保险缴费经费，未参加医疗保险的行政单位的公费医疗经费，按国家规定享受离休人员、红军老战士待遇人员的医疗经费。</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19.医疗卫生与计划生育（类）行政事业单位医疗（款）事业单位医疗（项）：指反映财政部门安排的事业单位基本医疗保险缴费经费，未参加医疗保险的事业单位的公费医疗经费，按国家规定享受离休人员待遇的医疗经费。</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20.医疗卫生与计划生育（类）行政事业单位医疗（款）公务员医疗补助（项）：指反映财政部门安排的公务员医疗补助经费。</w:t>
      </w:r>
    </w:p>
    <w:p>
      <w:pPr>
        <w:autoSpaceDE w:val="0"/>
        <w:autoSpaceDN w:val="0"/>
        <w:adjustRightInd w:val="0"/>
        <w:spacing w:line="600" w:lineRule="exact"/>
        <w:ind w:firstLine="640" w:firstLineChars="200"/>
        <w:rPr>
          <w:rFonts w:ascii="仿宋_GB2312" w:eastAsia="仿宋_GB2312"/>
          <w:kern w:val="0"/>
          <w:sz w:val="32"/>
          <w:szCs w:val="32"/>
        </w:rPr>
      </w:pPr>
      <w:bookmarkStart w:id="97" w:name="_Toc26291"/>
      <w:r>
        <w:rPr>
          <w:rFonts w:hint="eastAsia" w:ascii="仿宋_GB2312" w:eastAsia="仿宋_GB2312"/>
          <w:kern w:val="0"/>
          <w:sz w:val="32"/>
          <w:szCs w:val="32"/>
        </w:rPr>
        <w:t>21.住房保障（类）住房改革支出（款）住房公积金（项）：指反映行政事业单位按人力资源和社会保障部、财政部规定的基本工资和津贴补贴以及规定比例为职工缴纳的住房公积金。</w:t>
      </w:r>
      <w:bookmarkEnd w:id="97"/>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22.基本支出：指为保障机构正常运转、完成日常工作任务而发生的人员支出和公用支出。</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23.项目支出：指在基本支出之外为完成特定行政任务和事业发展目标所发生的支出。 </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24.经营支出：指事业单位在专业业务活动及其辅助活动之外开展非独立核算经营活动发生的支出。</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utoSpaceDE w:val="0"/>
        <w:autoSpaceDN w:val="0"/>
        <w:adjustRightIn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640" w:firstLineChars="200"/>
        <w:rPr>
          <w:rStyle w:val="25"/>
          <w:rFonts w:ascii="黑体" w:hAnsi="黑体" w:eastAsia="黑体"/>
          <w:b w:val="0"/>
        </w:rPr>
      </w:pPr>
      <w:bookmarkStart w:id="98" w:name="_Toc15377226"/>
      <w:r>
        <w:rPr>
          <w:rFonts w:hint="eastAsia" w:ascii="仿宋_GB2312" w:eastAsia="仿宋_GB2312"/>
          <w:kern w:val="0"/>
          <w:sz w:val="32"/>
          <w:szCs w:val="32"/>
        </w:rPr>
        <w:br w:type="page"/>
      </w:r>
      <w:bookmarkStart w:id="99" w:name="_Toc15396614"/>
      <w:bookmarkStart w:id="100" w:name="_Toc26870"/>
      <w:r>
        <w:rPr>
          <w:rFonts w:hint="eastAsia" w:ascii="黑体" w:hAnsi="黑体" w:eastAsia="黑体"/>
          <w:sz w:val="44"/>
          <w:szCs w:val="44"/>
        </w:rPr>
        <w:t>第</w:t>
      </w:r>
      <w:r>
        <w:rPr>
          <w:rStyle w:val="25"/>
          <w:rFonts w:hint="eastAsia" w:ascii="黑体" w:hAnsi="黑体" w:eastAsia="黑体"/>
          <w:b w:val="0"/>
        </w:rPr>
        <w:t>四部分 附件</w:t>
      </w:r>
      <w:bookmarkEnd w:id="99"/>
      <w:bookmarkEnd w:id="100"/>
    </w:p>
    <w:p>
      <w:pPr>
        <w:spacing w:line="572" w:lineRule="exact"/>
        <w:jc w:val="left"/>
        <w:outlineLvl w:val="1"/>
        <w:rPr>
          <w:rFonts w:ascii="方正小标宋简体" w:hAnsi="方正小标宋简体" w:eastAsia="方正小标宋简体" w:cs="方正小标宋简体"/>
          <w:sz w:val="44"/>
          <w:szCs w:val="44"/>
        </w:rPr>
      </w:pPr>
      <w:bookmarkStart w:id="101" w:name="_Toc12904"/>
      <w:r>
        <w:rPr>
          <w:rFonts w:hint="eastAsia" w:ascii="黑体" w:hAnsi="黑体" w:eastAsia="黑体" w:cs="黑体"/>
          <w:sz w:val="32"/>
          <w:szCs w:val="32"/>
        </w:rPr>
        <w:t>附件</w:t>
      </w:r>
      <w:bookmarkEnd w:id="101"/>
    </w:p>
    <w:p>
      <w:pPr>
        <w:spacing w:line="572" w:lineRule="exact"/>
        <w:jc w:val="center"/>
        <w:outlineLvl w:val="1"/>
        <w:rPr>
          <w:rFonts w:ascii="方正小标宋简体" w:hAnsi="宋体" w:eastAsia="方正小标宋简体"/>
          <w:kern w:val="0"/>
          <w:sz w:val="40"/>
          <w:szCs w:val="44"/>
        </w:rPr>
      </w:pPr>
      <w:bookmarkStart w:id="102" w:name="_Toc31186"/>
      <w:r>
        <w:rPr>
          <w:rFonts w:hint="eastAsia" w:ascii="方正小标宋简体" w:hAnsi="宋体" w:eastAsia="方正小标宋简体"/>
          <w:kern w:val="0"/>
          <w:sz w:val="40"/>
          <w:szCs w:val="44"/>
        </w:rPr>
        <w:t>2021年中共四川省委省直机关党校部门整体绩效评价报告</w:t>
      </w:r>
      <w:bookmarkEnd w:id="102"/>
    </w:p>
    <w:p>
      <w:pPr>
        <w:pStyle w:val="2"/>
        <w:spacing w:before="93"/>
      </w:pPr>
    </w:p>
    <w:p>
      <w:pPr>
        <w:spacing w:line="600" w:lineRule="exact"/>
        <w:ind w:firstLine="640"/>
        <w:outlineLvl w:val="1"/>
        <w:rPr>
          <w:rFonts w:ascii="黑体" w:eastAsia="黑体"/>
          <w:sz w:val="32"/>
          <w:szCs w:val="32"/>
          <w:lang w:val="zh-CN"/>
        </w:rPr>
      </w:pPr>
      <w:bookmarkStart w:id="103" w:name="_Toc15105"/>
      <w:r>
        <w:rPr>
          <w:rFonts w:hint="eastAsia" w:ascii="黑体" w:eastAsia="黑体"/>
          <w:sz w:val="32"/>
          <w:szCs w:val="32"/>
        </w:rPr>
        <w:t>一、</w:t>
      </w:r>
      <w:r>
        <w:rPr>
          <w:rFonts w:hint="eastAsia" w:ascii="黑体" w:eastAsia="黑体"/>
          <w:sz w:val="32"/>
          <w:szCs w:val="32"/>
          <w:lang w:val="zh-CN"/>
        </w:rPr>
        <w:t>部门（单位）概况</w:t>
      </w:r>
      <w:bookmarkEnd w:id="103"/>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（一）机构组成。</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我校是参照国家公务员管理的特殊事业单位，无下属单位。单位人员由参公管理人员、职员、专业技术人员和工勤人员四部分组成。</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（二）机构职能。</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主要职责是按照省委的要求，完成对省级机关各部门处级领导干部和中青年干部的培训任务，以及其他各类干部培训工作；研究宣传中国特色社会主义理论，承担重点课题研究；举办入党积极分子培训和研究生教育。</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（三）人员概况。</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截止2021年12月31日，我校人员编制数130人，其中参公编制43人，事业编制87人。年末实有人数101人，其中参公编制人员42人，事业编制人员59人。</w:t>
      </w:r>
    </w:p>
    <w:p>
      <w:pPr>
        <w:spacing w:line="600" w:lineRule="exact"/>
        <w:ind w:firstLine="640"/>
        <w:outlineLvl w:val="1"/>
        <w:rPr>
          <w:rFonts w:ascii="黑体" w:eastAsia="黑体"/>
          <w:sz w:val="32"/>
          <w:szCs w:val="32"/>
        </w:rPr>
      </w:pPr>
      <w:bookmarkStart w:id="104" w:name="_Toc26909"/>
      <w:r>
        <w:rPr>
          <w:rFonts w:hint="eastAsia" w:ascii="黑体" w:eastAsia="黑体"/>
          <w:sz w:val="32"/>
          <w:szCs w:val="32"/>
        </w:rPr>
        <w:t>二、部门财政资金收支情况</w:t>
      </w:r>
      <w:bookmarkEnd w:id="104"/>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（一）部门财政资金收入情况。</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2021年我校全年收入14774.03万元。其中：财政拨款收入   13466.12万元，占全年收入的91.15%；财政专户拨款收入641.9万元，占全年收入的4.35%；其他收666万元，占全年收入的4.5%。</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（二）部门财政资金支出情况。</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2020年我校全年支出14667.9万元。其中：基本支出3464.67万元，占全年支出的23.62%；项目支出11203.24万元，占全年支出的76.38%。</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（一）部门预算项目绩效管理。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1.目标管理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(1)目标制定</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2021年我校按照省委省政府的重点工作任务，结合我校“三定”方案，根据各处室的工作职能、工作任务和目标，从数量、质量、成本和时效等方面填报绩效目标，设置的预算绩效目标要素完整，绩效指标均细化量化。该项自评得分15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（2）目标实现</w:t>
      </w:r>
    </w:p>
    <w:p>
      <w:pPr>
        <w:autoSpaceDE w:val="0"/>
        <w:autoSpaceDN w:val="0"/>
        <w:adjustRightInd w:val="0"/>
        <w:spacing w:line="600" w:lineRule="exact"/>
        <w:ind w:firstLine="640" w:firstLineChars="200"/>
        <w:jc w:val="left"/>
        <w:rPr>
          <w:rFonts w:ascii="仿宋" w:hAnsi="仿宋" w:eastAsia="仿宋" w:cs="仿宋"/>
          <w:color w:val="000000"/>
          <w:kern w:val="0"/>
          <w:sz w:val="32"/>
          <w:szCs w:val="32"/>
          <w:shd w:val="clear" w:color="auto" w:fill="FFFFFF"/>
          <w:lang w:val="zh-CN"/>
        </w:rPr>
      </w:pPr>
      <w:r>
        <w:rPr>
          <w:rFonts w:hint="eastAsia" w:ascii="仿宋_GB2312" w:eastAsia="仿宋_GB2312"/>
          <w:kern w:val="0"/>
          <w:sz w:val="32"/>
          <w:szCs w:val="32"/>
          <w:lang w:val="zh-CN"/>
        </w:rPr>
        <w:t>我校共</w:t>
      </w:r>
      <w:r>
        <w:rPr>
          <w:rFonts w:hint="eastAsia" w:ascii="仿宋_GB2312" w:eastAsia="仿宋_GB2312"/>
          <w:kern w:val="0"/>
          <w:sz w:val="32"/>
          <w:szCs w:val="32"/>
          <w:highlight w:val="none"/>
          <w:lang w:val="zh-CN"/>
        </w:rPr>
        <w:t>有2个项目纳</w:t>
      </w:r>
      <w:r>
        <w:rPr>
          <w:rFonts w:hint="eastAsia" w:ascii="仿宋_GB2312" w:eastAsia="仿宋_GB2312"/>
          <w:kern w:val="0"/>
          <w:sz w:val="32"/>
          <w:szCs w:val="32"/>
          <w:lang w:val="zh-CN"/>
        </w:rPr>
        <w:t>入绩效目标管理，分别是学历教育、干部培训及食宿补助项目、科研和学科建设项目。我校逐一对每项数量指标的实际完成情况，对标预期绩效目标进行评价，全部数量指标个数为7个，有两个数量指标在预算监控时进行了调整,但是在整体支出绩效目标表里面未做调整。分别为：完成校级课题大于等于30个，部门项目绩效指标已调整为大于等于43个；发布决策咨询课题大于等于12个，部门项目绩效指标已调整为大于等于18个。有2项数量指标未完成预期目标，2项指标超过预期指标30%以上，故符合预期值的数量指标个数为3个，该项自评得分6.4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rPr>
        <w:t>2.</w:t>
      </w:r>
      <w:r>
        <w:rPr>
          <w:rFonts w:hint="eastAsia" w:ascii="仿宋_GB2312" w:eastAsia="仿宋_GB2312"/>
          <w:kern w:val="0"/>
          <w:sz w:val="32"/>
          <w:szCs w:val="32"/>
          <w:lang w:val="zh-CN"/>
        </w:rPr>
        <w:t>动态调整</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w:t>
      </w:r>
      <w:r>
        <w:rPr>
          <w:rFonts w:hint="eastAsia" w:ascii="仿宋_GB2312" w:eastAsia="仿宋_GB2312"/>
          <w:kern w:val="0"/>
          <w:sz w:val="32"/>
          <w:szCs w:val="32"/>
        </w:rPr>
        <w:t>1</w:t>
      </w:r>
      <w:r>
        <w:rPr>
          <w:rFonts w:hint="eastAsia" w:ascii="仿宋_GB2312" w:eastAsia="仿宋_GB2312"/>
          <w:kern w:val="0"/>
          <w:sz w:val="32"/>
          <w:szCs w:val="32"/>
          <w:lang w:val="zh-CN"/>
        </w:rPr>
        <w:t>）支出控制</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我校2021年日常公用经费、项目支出中“办公费、印刷费、水费、电费、物业管理费”等科目年初财政拨款预算498.33万元，财政拨款决算支出485.87万元。预决算偏差程度为2.6%，故该项自评得分5分。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w:t>
      </w:r>
      <w:r>
        <w:rPr>
          <w:rFonts w:hint="eastAsia" w:ascii="仿宋_GB2312" w:eastAsia="仿宋_GB2312"/>
          <w:kern w:val="0"/>
          <w:sz w:val="32"/>
          <w:szCs w:val="32"/>
        </w:rPr>
        <w:t>2</w:t>
      </w:r>
      <w:r>
        <w:rPr>
          <w:rFonts w:hint="eastAsia" w:ascii="仿宋_GB2312" w:eastAsia="仿宋_GB2312"/>
          <w:kern w:val="0"/>
          <w:sz w:val="32"/>
          <w:szCs w:val="32"/>
          <w:lang w:val="zh-CN"/>
        </w:rPr>
        <w:t>）及时处置</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按照财政厅要求，我校每月开展了绩效运行监控，对绩效监控中发现的无法实现预期目标的项目绩效进行了及时调整，培训项目其他资金支出调减了252万，财政拨款支出未做调整，适用于当部门绩效监控调整取消额为零，结余注销额不为零时，该项指标得分为9.3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（3）执行进度</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 xml:space="preserve">2021年1-6月、1-9月、1-11月我校预算执行进度分别为52%、73.6%、87.3%，分别达到要求支出进度的40%、67.5%、82.5%。该项自评得分5分。 </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3.完成结果</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（1）预算完成</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按照财政厅考核部门预算进度的口径，我校2019年部门预算执行进度为92%。该项自评得分9.2分。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（2）资金结余率</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我校2021年部门预算项目资金结余率小于0.1的项目数有6个，项目总数是11个，故该项得分为2.7分。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（3）违规纪律</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相关部门未对我校2021年预算管理情况进行检查。该项自评得分5分。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（二）结果应用情况。</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1.内部应用</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按照财政厅要求，我校每月开展了绩效运行监控，对无法完成或者超额完成的项目绩效进行了相应调整，对于预算项目执行不好的内设部门，会适当调整其下年度预算安排。该项得分为6分。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2.信息公开</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按照财政部门统一要求，我校部门整体支出绩效评价情况随同部门年终决算同步在学校官网上进行了公开。该项得分为4分。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3. 整改反馈</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（1）问题整改</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2021年绩效目标核查、绩效监控核查和重点绩效评价未对我校提出需整改的问题，该项自评得分5分。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(2) 应用反馈</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我校均按要求及时向财政部门报送了整体支出绩效报告。该项自评得分5分。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（三）自评质量</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rPr>
        <w:t xml:space="preserve">    </w:t>
      </w:r>
      <w:r>
        <w:rPr>
          <w:rFonts w:hint="eastAsia" w:ascii="仿宋_GB2312" w:eastAsia="仿宋_GB2312"/>
          <w:kern w:val="0"/>
          <w:sz w:val="32"/>
          <w:szCs w:val="32"/>
          <w:lang w:val="zh-CN"/>
        </w:rPr>
        <w:t>该项不涉及。</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（一）评价结论。</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总体来看，我校2021年预算编报依据充分、程序规范、项目细化、绩效设置细化完整，与部门职责和年度工作重点相符。预算支出严格按照财政厅批复的预算执行，并结合学校实际，根据各项目资金的不同特性，采取相应的措施和办法，督促加快预算执行进度，确保教学、科研资金的落实到位，切实提高了财政资金使用绩效。预算经费在保障我校各项工作有序进行、履行干部培训职能和促进科学研究等方面发挥了重要作用，取得了较好的经济效益和社会效益。以90分为满分计算，我校整体支出绩效评价自评得分77.6分，折算100分为满分计算，自评得分为86.2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（二）存在问题。</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 xml:space="preserve">1.部份绩效目标量化指标不够精确。由于量化值设置较低或过高，导致指标实现程度与预期目标差异过大，超出预期目标30%以上或者未完成绩效目标。          </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2.部分绩效项目预算不够精确。“新校区建设”项目年初预算时，有很多不确定因素，年中执行申请追减了项目经费2000万。</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3.绩效监控管理的力度还需进一步加大，与财政部门的沟通衔接还需进一步加强，监控结果应用于预算动态调整落实程度不够。</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（三）改进建议。</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1.强化绩效目标管理。</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绩效目标是开展绩效评价的重要基础及依据，我们将提高绩效目标的编制水平，进一步加强对绩效目标的审核，更加科学合理地设置绩效目标。</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2.提高绩效项目预算精确性。在预算编制时，要正确把握预算编制有关政策，及时全面掌握项目细化、数据准确，规范预算编制，提高预算的精确性。</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3.持续加强绩效运行监控结果应用与预算挂钩。</w:t>
      </w:r>
    </w:p>
    <w:p>
      <w:pPr>
        <w:autoSpaceDE w:val="0"/>
        <w:autoSpaceDN w:val="0"/>
        <w:adjustRightInd w:val="0"/>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提升绩效运行监控与动态调整的准确性，加强预算支出的审核、跟踪及预算执行情况分析，结合年初目标和单位业务实际开展情况，对未完成事项及所需资金进行科学合理预计，切实提高动态评估的准确性。同时加强与财政部门的沟通衔接，将绩效监控应用于预算的动态调整落实到位上。</w:t>
      </w:r>
    </w:p>
    <w:p>
      <w:pPr>
        <w:autoSpaceDE w:val="0"/>
        <w:autoSpaceDN w:val="0"/>
        <w:adjustRightInd w:val="0"/>
        <w:spacing w:line="600" w:lineRule="exact"/>
        <w:ind w:firstLine="640" w:firstLineChars="200"/>
        <w:jc w:val="left"/>
        <w:rPr>
          <w:rFonts w:ascii="仿宋_GB2312" w:eastAsiaTheme="minorEastAsia"/>
          <w:kern w:val="0"/>
          <w:sz w:val="32"/>
          <w:szCs w:val="32"/>
          <w:lang w:val="zh-CN"/>
        </w:rPr>
      </w:pPr>
      <w:r>
        <w:rPr>
          <w:rFonts w:hint="eastAsia" w:ascii="仿宋_GB2312" w:eastAsia="仿宋_GB2312"/>
          <w:kern w:val="0"/>
          <w:sz w:val="32"/>
          <w:szCs w:val="32"/>
          <w:lang w:val="zh-CN"/>
        </w:rPr>
        <w:t>我校有两个及以上100万元以上（含）特定目标类部门预算项目的，按照自评要求分别开展了绩效目标自评并填写了附表。</w:t>
      </w:r>
    </w:p>
    <w:p>
      <w:pPr>
        <w:pStyle w:val="2"/>
        <w:spacing w:before="93"/>
        <w:rPr>
          <w:rFonts w:hint="eastAsia" w:eastAsiaTheme="minorEastAsia"/>
          <w:lang w:val="zh-CN"/>
        </w:rPr>
      </w:pPr>
    </w:p>
    <w:p>
      <w:pPr>
        <w:autoSpaceDE w:val="0"/>
        <w:autoSpaceDN w:val="0"/>
        <w:adjustRightInd w:val="0"/>
        <w:spacing w:line="600" w:lineRule="exact"/>
        <w:ind w:firstLine="640" w:firstLineChars="200"/>
        <w:jc w:val="left"/>
        <w:rPr>
          <w:rFonts w:ascii="仿宋_GB2312" w:eastAsia="仿宋_GB2312"/>
          <w:kern w:val="0"/>
          <w:sz w:val="32"/>
          <w:szCs w:val="32"/>
          <w:lang w:val="zh-CN"/>
        </w:rPr>
      </w:pPr>
      <w:bookmarkStart w:id="105" w:name="_Toc8705"/>
      <w:r>
        <w:rPr>
          <w:rFonts w:hint="eastAsia" w:ascii="仿宋_GB2312" w:eastAsia="仿宋_GB2312"/>
          <w:kern w:val="0"/>
          <w:sz w:val="32"/>
          <w:szCs w:val="32"/>
          <w:lang w:val="zh-CN"/>
        </w:rPr>
        <w:t>附件</w:t>
      </w:r>
      <w:bookmarkEnd w:id="105"/>
    </w:p>
    <w:p>
      <w:pPr>
        <w:pStyle w:val="31"/>
        <w:spacing w:line="600" w:lineRule="exact"/>
        <w:jc w:val="center"/>
        <w:outlineLvl w:val="1"/>
        <w:rPr>
          <w:rFonts w:ascii="方正小标宋简体" w:hAnsi="方正小标宋简体" w:eastAsia="方正小标宋简体" w:cs="方正小标宋简体"/>
          <w:color w:val="auto"/>
          <w:kern w:val="2"/>
          <w:sz w:val="40"/>
          <w:szCs w:val="40"/>
        </w:rPr>
      </w:pPr>
      <w:bookmarkStart w:id="106" w:name="_Toc9504"/>
      <w:r>
        <w:rPr>
          <w:rFonts w:hint="eastAsia" w:ascii="方正小标宋简体" w:hAnsi="方正小标宋简体" w:eastAsia="方正小标宋简体" w:cs="方正小标宋简体"/>
          <w:color w:val="auto"/>
          <w:kern w:val="2"/>
          <w:sz w:val="40"/>
          <w:szCs w:val="40"/>
          <w:lang w:val="en-US"/>
        </w:rPr>
        <w:t>2022年</w:t>
      </w:r>
      <w:r>
        <w:rPr>
          <w:rFonts w:hint="eastAsia" w:ascii="方正小标宋简体" w:hAnsi="方正小标宋简体" w:eastAsia="方正小标宋简体" w:cs="方正小标宋简体"/>
          <w:color w:val="auto"/>
          <w:kern w:val="2"/>
          <w:sz w:val="40"/>
          <w:szCs w:val="40"/>
        </w:rPr>
        <w:t>部门预算项目支出绩效自评报告</w:t>
      </w:r>
      <w:bookmarkEnd w:id="106"/>
    </w:p>
    <w:p>
      <w:pPr>
        <w:pStyle w:val="31"/>
        <w:spacing w:line="600" w:lineRule="exact"/>
        <w:ind w:firstLine="883"/>
        <w:jc w:val="center"/>
        <w:outlineLvl w:val="1"/>
        <w:rPr>
          <w:rFonts w:ascii="仿宋_GB2312" w:hAnsi="宋体" w:eastAsia="仿宋_GB2312"/>
          <w:color w:val="auto"/>
          <w:kern w:val="2"/>
          <w:sz w:val="32"/>
          <w:szCs w:val="32"/>
        </w:rPr>
      </w:pPr>
      <w:bookmarkStart w:id="107" w:name="_Toc27666"/>
      <w:r>
        <w:rPr>
          <w:rFonts w:hint="eastAsia" w:ascii="仿宋_GB2312" w:hAnsi="宋体" w:eastAsia="仿宋_GB2312"/>
          <w:color w:val="auto"/>
          <w:kern w:val="2"/>
          <w:sz w:val="32"/>
          <w:szCs w:val="32"/>
        </w:rPr>
        <w:t>（学历教育、干部培训及食宿补助项目）</w:t>
      </w:r>
      <w:bookmarkEnd w:id="107"/>
    </w:p>
    <w:p>
      <w:pPr>
        <w:pStyle w:val="31"/>
        <w:spacing w:line="600" w:lineRule="exact"/>
        <w:ind w:firstLine="640"/>
        <w:jc w:val="center"/>
        <w:rPr>
          <w:rFonts w:ascii="宋体" w:hAnsi="宋体"/>
          <w:color w:val="auto"/>
          <w:kern w:val="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pStyle w:val="24"/>
        <w:numPr>
          <w:ilvl w:val="0"/>
          <w:numId w:val="4"/>
        </w:numPr>
        <w:adjustRightInd w:val="0"/>
        <w:snapToGrid w:val="0"/>
        <w:spacing w:line="600" w:lineRule="exact"/>
        <w:ind w:firstLineChars="0"/>
        <w:rPr>
          <w:rFonts w:ascii="仿宋" w:hAnsi="仿宋" w:eastAsia="仿宋" w:cs="仿宋"/>
          <w:b/>
          <w:sz w:val="32"/>
          <w:szCs w:val="32"/>
          <w:lang w:val="zh-CN"/>
        </w:rPr>
      </w:pPr>
      <w:r>
        <w:rPr>
          <w:rFonts w:hint="eastAsia" w:ascii="仿宋" w:hAnsi="仿宋" w:eastAsia="仿宋" w:cs="仿宋"/>
          <w:b/>
          <w:sz w:val="32"/>
          <w:szCs w:val="32"/>
          <w:lang w:val="zh-CN"/>
        </w:rPr>
        <w:t>项目基本情况</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1.说明项目主管部门（单位）在该项目管理中的职能。</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该项目为我校干部论培训、在职研究生教学培训项目，为常年项目。我校深化教学改革，高质量完成主体班、外训班等各类培训任务。办出校内各培训的特色、办出品牌，不断强化与省直各部门、企事业单位和中央在川单位合作，力争培训规模不断扩大，培训质量全面提升。优化学历教育，做好省委党校在职研究生招生组织工作，加强教学教务管理，不断提高研究生教育水平。</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2．项目立项、资金申报的依据。</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该项目为我校干部论培训、在职研究生教学培训项目，为常年项目。根据学校培训、教学职能编立。</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3．资金管理办法制定情况，资金支持具体项目的条件、范围与支持方式概况。</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我校学历教育、干部培训及食宿补助有以下办法：《主体班优秀教学奖及优秀教学组织奖评选暂行办法》（川委机校</w:t>
      </w:r>
      <w:r>
        <w:rPr>
          <w:rFonts w:ascii="Arial" w:hAnsi="Arial" w:cs="Arial"/>
          <w:color w:val="333333"/>
          <w:sz w:val="32"/>
          <w:szCs w:val="32"/>
          <w:shd w:val="clear" w:color="auto" w:fill="FFFFFF"/>
        </w:rPr>
        <w:t>〔</w:t>
      </w:r>
      <w:r>
        <w:rPr>
          <w:rFonts w:hint="eastAsia" w:ascii="仿宋_GB2312" w:eastAsia="仿宋_GB2312"/>
          <w:kern w:val="0"/>
          <w:sz w:val="32"/>
          <w:szCs w:val="32"/>
          <w:lang w:val="zh-CN"/>
        </w:rPr>
        <w:t>2018</w:t>
      </w:r>
      <w:r>
        <w:rPr>
          <w:rFonts w:ascii="Arial" w:hAnsi="Arial" w:cs="Arial"/>
          <w:color w:val="333333"/>
          <w:sz w:val="32"/>
          <w:szCs w:val="32"/>
          <w:shd w:val="clear" w:color="auto" w:fill="FFFFFF"/>
        </w:rPr>
        <w:t>〕</w:t>
      </w:r>
      <w:r>
        <w:rPr>
          <w:rFonts w:hint="eastAsia" w:ascii="仿宋_GB2312" w:eastAsia="仿宋_GB2312"/>
          <w:kern w:val="0"/>
          <w:sz w:val="32"/>
          <w:szCs w:val="32"/>
          <w:lang w:val="zh-CN"/>
        </w:rPr>
        <w:t>130号）；《教师教学工作量考核细则》（川委机校</w:t>
      </w:r>
      <w:r>
        <w:rPr>
          <w:rFonts w:hint="eastAsia" w:ascii="宋体" w:hAnsi="宋体" w:cs="宋体"/>
          <w:kern w:val="0"/>
          <w:sz w:val="32"/>
          <w:szCs w:val="32"/>
          <w:lang w:val="zh-CN"/>
        </w:rPr>
        <w:t>〔</w:t>
      </w:r>
      <w:r>
        <w:rPr>
          <w:rFonts w:hint="eastAsia" w:ascii="仿宋_GB2312" w:eastAsia="仿宋_GB2312"/>
          <w:kern w:val="0"/>
          <w:sz w:val="32"/>
          <w:szCs w:val="32"/>
          <w:lang w:val="zh-CN"/>
        </w:rPr>
        <w:t>2019</w:t>
      </w:r>
      <w:r>
        <w:rPr>
          <w:rFonts w:hint="eastAsia" w:ascii="宋体" w:hAnsi="宋体" w:cs="宋体"/>
          <w:kern w:val="0"/>
          <w:sz w:val="32"/>
          <w:szCs w:val="32"/>
          <w:lang w:val="zh-CN"/>
        </w:rPr>
        <w:t>〕</w:t>
      </w:r>
      <w:r>
        <w:rPr>
          <w:rFonts w:hint="eastAsia" w:ascii="仿宋_GB2312" w:eastAsia="仿宋_GB2312"/>
          <w:kern w:val="0"/>
          <w:sz w:val="32"/>
          <w:szCs w:val="32"/>
          <w:lang w:val="zh-CN"/>
        </w:rPr>
        <w:t>63号）；《讲课费发放的暂行规定》（川委机校</w:t>
      </w:r>
      <w:r>
        <w:rPr>
          <w:rFonts w:hint="eastAsia" w:ascii="宋体" w:hAnsi="宋体" w:cs="宋体"/>
          <w:kern w:val="0"/>
          <w:sz w:val="32"/>
          <w:szCs w:val="32"/>
          <w:lang w:val="zh-CN"/>
        </w:rPr>
        <w:t>〔</w:t>
      </w:r>
      <w:r>
        <w:rPr>
          <w:rFonts w:hint="eastAsia" w:ascii="仿宋_GB2312" w:eastAsia="仿宋_GB2312"/>
          <w:kern w:val="0"/>
          <w:sz w:val="32"/>
          <w:szCs w:val="32"/>
          <w:lang w:val="zh-CN"/>
        </w:rPr>
        <w:t>2019</w:t>
      </w:r>
      <w:r>
        <w:rPr>
          <w:rFonts w:hint="eastAsia" w:ascii="宋体" w:hAnsi="宋体" w:cs="宋体"/>
          <w:kern w:val="0"/>
          <w:sz w:val="32"/>
          <w:szCs w:val="32"/>
          <w:lang w:val="zh-CN"/>
        </w:rPr>
        <w:t>〕</w:t>
      </w:r>
      <w:r>
        <w:rPr>
          <w:rFonts w:hint="eastAsia" w:ascii="仿宋_GB2312" w:eastAsia="仿宋_GB2312"/>
          <w:kern w:val="0"/>
          <w:sz w:val="32"/>
          <w:szCs w:val="32"/>
          <w:lang w:val="zh-CN"/>
        </w:rPr>
        <w:t>74号）；《精品课（样板课）建设暂行办法》（川委机校</w:t>
      </w:r>
      <w:r>
        <w:rPr>
          <w:rFonts w:hint="eastAsia" w:ascii="宋体" w:hAnsi="宋体" w:cs="宋体"/>
          <w:kern w:val="0"/>
          <w:sz w:val="32"/>
          <w:szCs w:val="32"/>
          <w:lang w:val="zh-CN"/>
        </w:rPr>
        <w:t>〔</w:t>
      </w:r>
      <w:r>
        <w:rPr>
          <w:rFonts w:hint="eastAsia" w:ascii="仿宋_GB2312" w:eastAsia="仿宋_GB2312"/>
          <w:kern w:val="0"/>
          <w:sz w:val="32"/>
          <w:szCs w:val="32"/>
          <w:lang w:val="zh-CN"/>
        </w:rPr>
        <w:t>2019</w:t>
      </w:r>
      <w:r>
        <w:rPr>
          <w:rFonts w:hint="eastAsia" w:ascii="宋体" w:hAnsi="宋体" w:cs="宋体"/>
          <w:kern w:val="0"/>
          <w:sz w:val="32"/>
          <w:szCs w:val="32"/>
          <w:lang w:val="zh-CN"/>
        </w:rPr>
        <w:t>〕</w:t>
      </w:r>
      <w:r>
        <w:rPr>
          <w:rFonts w:hint="eastAsia" w:ascii="仿宋_GB2312" w:eastAsia="仿宋_GB2312"/>
          <w:kern w:val="0"/>
          <w:sz w:val="32"/>
          <w:szCs w:val="32"/>
          <w:lang w:val="zh-CN"/>
        </w:rPr>
        <w:t>64号）等都属于该项目范围。</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4．资金分配的原则及考虑因素。</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专项资金分配原则坚持科学性、合理性、高效性，围绕我校学历教育、干部培训建设具体工作开展情况，按需分配经费。</w:t>
      </w:r>
    </w:p>
    <w:p>
      <w:p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（二）项目绩效目标</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1．项目主要内容。</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该项目主要内容为：高质量完成主体班、外训班等各类培训任务以及党校在职研究生培养计划。不断强化与省直各部门、企事业单位和中央在川单位合作，力争培训规模不断扩大，培训质量全面提升。优化学历教育，做好省委党校在职研究生招生组织工作，加强教学教务管理，不断提高研究生教育水平。</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rPr>
        <w:t>2.</w:t>
      </w:r>
      <w:r>
        <w:rPr>
          <w:rFonts w:hint="eastAsia" w:ascii="仿宋_GB2312" w:eastAsia="仿宋_GB2312"/>
          <w:kern w:val="0"/>
          <w:sz w:val="32"/>
          <w:szCs w:val="32"/>
          <w:lang w:val="zh-CN"/>
        </w:rPr>
        <w:t>项目应实现的具体绩效目标，包括目标的量化、细化情况以及项目实施进度计划等。</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2021年应完成培训班次数量指标为80个；完成培训人数数量指标为9070人，；培训合格率大于等于90%，主体班参训学员理论水平，显著提升，中央和省委最新理论和决策部署及时进课堂（主体班），以上绩效目标均已完成。</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分析评价申报内容是否与实际相符，申报目标是否合理可行。</w:t>
      </w:r>
    </w:p>
    <w:p>
      <w:pPr>
        <w:autoSpaceDE w:val="0"/>
        <w:autoSpaceDN w:val="0"/>
        <w:adjustRightIn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rPr>
        <w:t>3.</w:t>
      </w:r>
      <w:r>
        <w:rPr>
          <w:rFonts w:hint="eastAsia" w:ascii="仿宋_GB2312" w:eastAsia="仿宋_GB2312"/>
          <w:kern w:val="0"/>
          <w:sz w:val="32"/>
          <w:szCs w:val="32"/>
          <w:lang w:val="zh-CN"/>
        </w:rPr>
        <w:t>项目设立程序经过严格评估论证，与部门职责相符，与相关部门同类项目或部门内部项目不重复，项目规划符合省委、省政府重大决策部署，与项目年度目标一致，项目绩效目标编制完整，充分细化量化 。对项目实施开展进行检查监控，对发现的问题进行了督促整改，项目方案制定、实施严格执行相关制度规定，项目资金使用符合相关的财务管理制度规定。</w:t>
      </w:r>
    </w:p>
    <w:p>
      <w:pPr>
        <w:numPr>
          <w:ilvl w:val="0"/>
          <w:numId w:val="4"/>
        </w:numPr>
        <w:adjustRightInd w:val="0"/>
        <w:snapToGrid w:val="0"/>
        <w:spacing w:line="600" w:lineRule="exact"/>
        <w:rPr>
          <w:rFonts w:ascii="仿宋" w:hAnsi="仿宋" w:eastAsia="仿宋" w:cs="仿宋"/>
          <w:b/>
          <w:sz w:val="32"/>
          <w:szCs w:val="32"/>
          <w:lang w:val="zh-CN"/>
        </w:rPr>
      </w:pPr>
      <w:r>
        <w:rPr>
          <w:rFonts w:hint="eastAsia" w:ascii="仿宋" w:hAnsi="仿宋" w:eastAsia="仿宋" w:cs="仿宋"/>
          <w:b/>
          <w:sz w:val="32"/>
          <w:szCs w:val="32"/>
          <w:lang w:val="zh-CN"/>
        </w:rPr>
        <w:t>项目自评步骤及方法</w:t>
      </w:r>
    </w:p>
    <w:p>
      <w:pPr>
        <w:pStyle w:val="2"/>
        <w:spacing w:before="93"/>
        <w:ind w:firstLine="640" w:firstLineChars="200"/>
        <w:rPr>
          <w:sz w:val="32"/>
          <w:szCs w:val="32"/>
          <w:lang w:val="zh-CN"/>
        </w:rPr>
      </w:pPr>
      <w:r>
        <w:rPr>
          <w:rFonts w:hint="eastAsia"/>
          <w:sz w:val="32"/>
          <w:szCs w:val="32"/>
          <w:lang w:val="zh-CN"/>
        </w:rPr>
        <w:t>为做好绩效评价工作，规范和加强项目资金管理，切实提高项目资金的使用绩效和管理水平，由资金使用部门自评和财务人员自评相结合的方式，对学历教育、干部培训及食宿补助项目开展了绩效评价工作。</w:t>
      </w:r>
    </w:p>
    <w:p>
      <w:pPr>
        <w:pStyle w:val="2"/>
        <w:spacing w:before="93"/>
        <w:ind w:firstLine="640" w:firstLineChars="200"/>
        <w:rPr>
          <w:sz w:val="32"/>
          <w:szCs w:val="32"/>
          <w:lang w:val="zh-CN"/>
        </w:rPr>
      </w:pPr>
      <w:r>
        <w:rPr>
          <w:rFonts w:hint="eastAsia"/>
          <w:sz w:val="32"/>
          <w:szCs w:val="32"/>
          <w:lang w:val="zh-CN"/>
        </w:rPr>
        <w:t>为确保绩效评价工作落到实处，取得成效，我校对绩效评价指标体系进行了详细学习。对工作开展情况和项目经费进行了逐一梳理，并进行详细分析，形成了自评报告和自评表，自评分数为91.5分。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pStyle w:val="2"/>
        <w:spacing w:before="93"/>
        <w:ind w:firstLine="640" w:firstLineChars="200"/>
        <w:rPr>
          <w:sz w:val="32"/>
          <w:szCs w:val="32"/>
          <w:lang w:val="zh-CN"/>
        </w:rPr>
      </w:pPr>
      <w:r>
        <w:rPr>
          <w:rFonts w:hint="eastAsia"/>
          <w:sz w:val="32"/>
          <w:szCs w:val="32"/>
          <w:lang w:val="zh-CN"/>
        </w:rPr>
        <w:t>按照《四川省财政厅关于编制省级部门2021-2023年支出规划和2021年部门预算的通知》（川财预〔2020〕49号）有关要求，完成项目资金申报工作，经审人代会审核通过以后，领取了预算批复表。并根据预算公开相关要求完成了项目预算公开。</w:t>
      </w:r>
    </w:p>
    <w:p>
      <w:pPr>
        <w:adjustRightInd w:val="0"/>
        <w:snapToGrid w:val="0"/>
        <w:spacing w:line="600" w:lineRule="exact"/>
        <w:ind w:firstLine="720"/>
        <w:rPr>
          <w:rFonts w:ascii="仿宋" w:hAnsi="仿宋" w:eastAsia="仿宋" w:cs="仿宋"/>
          <w:sz w:val="32"/>
          <w:szCs w:val="32"/>
          <w:lang w:val="zh-CN"/>
        </w:rPr>
      </w:pPr>
      <w:r>
        <w:rPr>
          <w:rFonts w:hint="eastAsia" w:ascii="仿宋" w:hAnsi="仿宋" w:eastAsia="仿宋" w:cs="仿宋"/>
          <w:b/>
          <w:sz w:val="32"/>
          <w:szCs w:val="32"/>
          <w:lang w:val="zh-CN"/>
        </w:rPr>
        <w:t>（二）资金计划、到位及使用情况</w:t>
      </w:r>
    </w:p>
    <w:p>
      <w:pPr>
        <w:pStyle w:val="2"/>
        <w:spacing w:before="93"/>
        <w:ind w:firstLine="640" w:firstLineChars="200"/>
        <w:rPr>
          <w:sz w:val="32"/>
          <w:szCs w:val="32"/>
          <w:lang w:val="zh-CN"/>
        </w:rPr>
      </w:pPr>
      <w:r>
        <w:rPr>
          <w:rFonts w:hint="eastAsia"/>
          <w:sz w:val="32"/>
          <w:szCs w:val="32"/>
          <w:lang w:val="zh-CN"/>
        </w:rPr>
        <w:t>1．资金计划。</w:t>
      </w:r>
    </w:p>
    <w:p>
      <w:pPr>
        <w:pStyle w:val="2"/>
        <w:spacing w:before="93"/>
        <w:ind w:firstLine="640" w:firstLineChars="200"/>
        <w:rPr>
          <w:sz w:val="32"/>
          <w:szCs w:val="32"/>
          <w:lang w:val="zh-CN"/>
        </w:rPr>
      </w:pPr>
      <w:r>
        <w:rPr>
          <w:rFonts w:hint="eastAsia"/>
          <w:sz w:val="32"/>
          <w:szCs w:val="32"/>
          <w:lang w:val="zh-CN"/>
        </w:rPr>
        <w:t>学历教育干部培训及食宿补助项目资金总金额为1355.36万元，计划安排：计划内培训班培训费用638.66万元，计划外各类培训班费用687.9万元，在职研究生培养费28.8万元。</w:t>
      </w:r>
    </w:p>
    <w:p>
      <w:pPr>
        <w:pStyle w:val="2"/>
        <w:spacing w:before="93"/>
        <w:ind w:firstLine="640" w:firstLineChars="200"/>
        <w:rPr>
          <w:sz w:val="32"/>
          <w:szCs w:val="32"/>
          <w:lang w:val="zh-CN"/>
        </w:rPr>
      </w:pPr>
      <w:r>
        <w:rPr>
          <w:rFonts w:hint="eastAsia"/>
          <w:sz w:val="32"/>
          <w:szCs w:val="32"/>
          <w:lang w:val="zh-CN"/>
        </w:rPr>
        <w:t>2．资金到位。</w:t>
      </w:r>
    </w:p>
    <w:p>
      <w:pPr>
        <w:pStyle w:val="2"/>
        <w:spacing w:before="93"/>
        <w:ind w:firstLine="640" w:firstLineChars="200"/>
        <w:rPr>
          <w:sz w:val="32"/>
          <w:szCs w:val="32"/>
          <w:lang w:val="zh-CN"/>
        </w:rPr>
      </w:pPr>
      <w:r>
        <w:rPr>
          <w:rFonts w:hint="eastAsia"/>
          <w:sz w:val="32"/>
          <w:szCs w:val="32"/>
          <w:lang w:val="zh-CN"/>
        </w:rPr>
        <w:t>学历教育干部培训及食宿补助项目资金总金额1355.36万元，资金到位率100%。</w:t>
      </w:r>
    </w:p>
    <w:p>
      <w:pPr>
        <w:pStyle w:val="2"/>
        <w:spacing w:before="93"/>
        <w:ind w:firstLine="640" w:firstLineChars="200"/>
        <w:rPr>
          <w:sz w:val="32"/>
          <w:szCs w:val="32"/>
          <w:lang w:val="zh-CN"/>
        </w:rPr>
      </w:pPr>
      <w:r>
        <w:rPr>
          <w:rFonts w:hint="eastAsia"/>
          <w:sz w:val="32"/>
          <w:szCs w:val="32"/>
          <w:lang w:val="zh-CN"/>
        </w:rPr>
        <w:t>3.资金使用。</w:t>
      </w:r>
    </w:p>
    <w:p>
      <w:pPr>
        <w:pStyle w:val="2"/>
        <w:spacing w:before="93"/>
        <w:ind w:firstLine="640" w:firstLineChars="200"/>
        <w:rPr>
          <w:sz w:val="32"/>
          <w:szCs w:val="32"/>
          <w:lang w:val="zh-CN"/>
        </w:rPr>
      </w:pPr>
      <w:r>
        <w:rPr>
          <w:rFonts w:hint="eastAsia"/>
          <w:sz w:val="32"/>
          <w:szCs w:val="32"/>
          <w:lang w:val="zh-CN"/>
        </w:rPr>
        <w:t>科研和学科建设学历教育干部培训及食宿补助项目资金总金额998.9万元，具体为：计划内培训班培训支出574.7万元，计划外各类培训班培训支出398.8万元，在职研究生培养成本支出25.4万元。资金的支付范围、支付标准、支付进度、支付依据均合规合法，与预算相符。</w:t>
      </w:r>
    </w:p>
    <w:p>
      <w:pPr>
        <w:pStyle w:val="2"/>
        <w:spacing w:before="93"/>
        <w:ind w:firstLine="640" w:firstLineChars="200"/>
        <w:rPr>
          <w:sz w:val="32"/>
          <w:szCs w:val="32"/>
          <w:lang w:val="zh-CN"/>
        </w:rPr>
      </w:pPr>
      <w:r>
        <w:rPr>
          <w:rFonts w:hint="eastAsia"/>
          <w:sz w:val="32"/>
          <w:szCs w:val="32"/>
          <w:lang w:val="zh-CN"/>
        </w:rPr>
        <w:t>（三）项目财务管理情况</w:t>
      </w:r>
    </w:p>
    <w:p>
      <w:pPr>
        <w:pStyle w:val="2"/>
        <w:spacing w:before="93"/>
        <w:ind w:firstLine="640" w:firstLineChars="200"/>
        <w:rPr>
          <w:rFonts w:ascii="仿宋" w:hAnsi="仿宋" w:eastAsia="仿宋" w:cs="仿宋"/>
          <w:sz w:val="32"/>
          <w:szCs w:val="32"/>
        </w:rPr>
      </w:pPr>
      <w:r>
        <w:rPr>
          <w:rFonts w:hint="eastAsia"/>
          <w:sz w:val="32"/>
          <w:szCs w:val="32"/>
          <w:lang w:val="zh-CN"/>
        </w:rPr>
        <w:t>我校财务管理规定健全，明确了财务管理、实行事前报告制度、报销审核程序、报销时原始凭证应具备的要素、财务人员职责等。在资金使用上严格执行财务管理制度，并做到账务处理及时、会计核算规范。</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三、项目实施及管理情况</w:t>
      </w:r>
    </w:p>
    <w:p>
      <w:p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pStyle w:val="2"/>
        <w:spacing w:before="93"/>
        <w:ind w:firstLine="640" w:firstLineChars="200"/>
        <w:rPr>
          <w:sz w:val="32"/>
          <w:szCs w:val="32"/>
          <w:lang w:val="zh-CN"/>
        </w:rPr>
      </w:pPr>
      <w:r>
        <w:rPr>
          <w:rFonts w:hint="eastAsia"/>
          <w:sz w:val="32"/>
          <w:szCs w:val="32"/>
          <w:lang w:val="zh-CN"/>
        </w:rPr>
        <w:t>项目为我校学历教育、干部培训及食宿补助项目，为常年项目。按照校内教学培训管理办法，全力做好常规教学、培训工作，高质量完成主体班、外训班等各类培训任务以及党校在职研究生培养计划。</w:t>
      </w:r>
    </w:p>
    <w:p>
      <w:pPr>
        <w:numPr>
          <w:ilvl w:val="0"/>
          <w:numId w:val="4"/>
        </w:numPr>
        <w:adjustRightInd w:val="0"/>
        <w:snapToGrid w:val="0"/>
        <w:spacing w:line="600" w:lineRule="exact"/>
        <w:rPr>
          <w:rFonts w:ascii="仿宋" w:hAnsi="仿宋" w:eastAsia="仿宋" w:cs="仿宋"/>
          <w:b/>
          <w:sz w:val="32"/>
          <w:szCs w:val="32"/>
          <w:lang w:val="zh-CN"/>
        </w:rPr>
      </w:pPr>
      <w:r>
        <w:rPr>
          <w:rFonts w:hint="eastAsia" w:ascii="仿宋" w:hAnsi="仿宋" w:eastAsia="仿宋" w:cs="仿宋"/>
          <w:b/>
          <w:sz w:val="32"/>
          <w:szCs w:val="32"/>
          <w:lang w:val="zh-CN"/>
        </w:rPr>
        <w:t>项目管理情况</w:t>
      </w:r>
    </w:p>
    <w:p>
      <w:pPr>
        <w:adjustRightInd w:val="0"/>
        <w:snapToGrid w:val="0"/>
        <w:spacing w:line="600" w:lineRule="exact"/>
        <w:ind w:firstLine="640" w:firstLineChars="200"/>
        <w:rPr>
          <w:rFonts w:ascii="仿宋" w:hAnsi="仿宋" w:eastAsia="仿宋" w:cs="仿宋"/>
          <w:sz w:val="32"/>
          <w:szCs w:val="32"/>
          <w:lang w:val="zh-CN"/>
        </w:rPr>
      </w:pPr>
      <w:r>
        <w:rPr>
          <w:rFonts w:hint="eastAsia" w:ascii="仿宋_GB2312" w:eastAsia="仿宋_GB2312"/>
          <w:kern w:val="0"/>
          <w:sz w:val="32"/>
          <w:szCs w:val="32"/>
          <w:lang w:val="zh-CN"/>
        </w:rPr>
        <w:t>学历教育、干部培训及食宿补助项目严格执行《主体班优秀教学奖及优秀教学组织奖评选暂行办法》（川委机校</w:t>
      </w:r>
      <w:r>
        <w:rPr>
          <w:rFonts w:hint="eastAsia" w:ascii="宋体" w:hAnsi="宋体" w:cs="宋体"/>
          <w:kern w:val="0"/>
          <w:sz w:val="32"/>
          <w:szCs w:val="32"/>
          <w:lang w:val="zh-CN"/>
        </w:rPr>
        <w:t>〔</w:t>
      </w:r>
      <w:r>
        <w:rPr>
          <w:rFonts w:hint="eastAsia" w:ascii="仿宋_GB2312" w:eastAsia="仿宋_GB2312"/>
          <w:kern w:val="0"/>
          <w:sz w:val="32"/>
          <w:szCs w:val="32"/>
          <w:lang w:val="zh-CN"/>
        </w:rPr>
        <w:t>2018</w:t>
      </w:r>
      <w:r>
        <w:rPr>
          <w:rFonts w:hint="eastAsia" w:ascii="宋体" w:hAnsi="宋体" w:cs="宋体"/>
          <w:kern w:val="0"/>
          <w:sz w:val="32"/>
          <w:szCs w:val="32"/>
          <w:lang w:val="zh-CN"/>
        </w:rPr>
        <w:t>〕</w:t>
      </w:r>
      <w:r>
        <w:rPr>
          <w:rFonts w:hint="eastAsia" w:ascii="仿宋_GB2312" w:eastAsia="仿宋_GB2312"/>
          <w:kern w:val="0"/>
          <w:sz w:val="32"/>
          <w:szCs w:val="32"/>
          <w:lang w:val="zh-CN"/>
        </w:rPr>
        <w:t>130号）；《教师教学工作量考核细则》（川委机校</w:t>
      </w:r>
      <w:r>
        <w:rPr>
          <w:rFonts w:hint="eastAsia" w:ascii="宋体" w:hAnsi="宋体" w:cs="宋体"/>
          <w:kern w:val="0"/>
          <w:sz w:val="32"/>
          <w:szCs w:val="32"/>
          <w:lang w:val="zh-CN"/>
        </w:rPr>
        <w:t>〔</w:t>
      </w:r>
      <w:r>
        <w:rPr>
          <w:rFonts w:hint="eastAsia" w:ascii="仿宋_GB2312" w:eastAsia="仿宋_GB2312"/>
          <w:kern w:val="0"/>
          <w:sz w:val="32"/>
          <w:szCs w:val="32"/>
          <w:lang w:val="zh-CN"/>
        </w:rPr>
        <w:t>2019</w:t>
      </w:r>
      <w:r>
        <w:rPr>
          <w:rFonts w:hint="eastAsia" w:ascii="宋体" w:hAnsi="宋体" w:cs="宋体"/>
          <w:kern w:val="0"/>
          <w:sz w:val="32"/>
          <w:szCs w:val="32"/>
          <w:lang w:val="zh-CN"/>
        </w:rPr>
        <w:t>〕</w:t>
      </w:r>
      <w:r>
        <w:rPr>
          <w:rFonts w:hint="eastAsia" w:ascii="仿宋_GB2312" w:eastAsia="仿宋_GB2312"/>
          <w:kern w:val="0"/>
          <w:sz w:val="32"/>
          <w:szCs w:val="32"/>
          <w:lang w:val="zh-CN"/>
        </w:rPr>
        <w:t>63号）；《讲课费发放的暂行规定》（川委机校</w:t>
      </w:r>
      <w:r>
        <w:rPr>
          <w:rFonts w:hint="eastAsia" w:ascii="宋体" w:hAnsi="宋体" w:cs="宋体"/>
          <w:kern w:val="0"/>
          <w:sz w:val="32"/>
          <w:szCs w:val="32"/>
          <w:lang w:val="zh-CN"/>
        </w:rPr>
        <w:t>〔</w:t>
      </w:r>
      <w:r>
        <w:rPr>
          <w:rFonts w:hint="eastAsia" w:ascii="仿宋_GB2312" w:eastAsia="仿宋_GB2312"/>
          <w:kern w:val="0"/>
          <w:sz w:val="32"/>
          <w:szCs w:val="32"/>
          <w:lang w:val="zh-CN"/>
        </w:rPr>
        <w:t>2019</w:t>
      </w:r>
      <w:r>
        <w:rPr>
          <w:rFonts w:hint="eastAsia" w:ascii="宋体" w:hAnsi="宋体" w:cs="宋体"/>
          <w:kern w:val="0"/>
          <w:sz w:val="32"/>
          <w:szCs w:val="32"/>
          <w:lang w:val="zh-CN"/>
        </w:rPr>
        <w:t>〕</w:t>
      </w:r>
      <w:r>
        <w:rPr>
          <w:rFonts w:hint="eastAsia" w:ascii="仿宋_GB2312" w:eastAsia="仿宋_GB2312"/>
          <w:kern w:val="0"/>
          <w:sz w:val="32"/>
          <w:szCs w:val="32"/>
          <w:lang w:val="zh-CN"/>
        </w:rPr>
        <w:t>74号）；《精品课（样板课）建设暂行办法》（川委机校</w:t>
      </w:r>
      <w:r>
        <w:rPr>
          <w:rFonts w:hint="eastAsia" w:ascii="宋体" w:hAnsi="宋体" w:cs="宋体"/>
          <w:kern w:val="0"/>
          <w:sz w:val="32"/>
          <w:szCs w:val="32"/>
          <w:lang w:val="zh-CN"/>
        </w:rPr>
        <w:t>〔</w:t>
      </w:r>
      <w:r>
        <w:rPr>
          <w:rFonts w:hint="eastAsia" w:ascii="仿宋_GB2312" w:eastAsia="仿宋_GB2312"/>
          <w:kern w:val="0"/>
          <w:sz w:val="32"/>
          <w:szCs w:val="32"/>
          <w:lang w:val="zh-CN"/>
        </w:rPr>
        <w:t>2019</w:t>
      </w:r>
      <w:r>
        <w:rPr>
          <w:rFonts w:hint="eastAsia" w:ascii="宋体" w:hAnsi="宋体" w:cs="宋体"/>
          <w:kern w:val="0"/>
          <w:sz w:val="32"/>
          <w:szCs w:val="32"/>
          <w:lang w:val="zh-CN"/>
        </w:rPr>
        <w:t>〕</w:t>
      </w:r>
      <w:r>
        <w:rPr>
          <w:rFonts w:hint="eastAsia" w:ascii="仿宋_GB2312" w:eastAsia="仿宋_GB2312"/>
          <w:kern w:val="0"/>
          <w:sz w:val="32"/>
          <w:szCs w:val="32"/>
          <w:lang w:val="zh-CN"/>
        </w:rPr>
        <w:t>64号）等文件要求。</w:t>
      </w:r>
      <w:r>
        <w:rPr>
          <w:rFonts w:hint="eastAsia" w:ascii="仿宋" w:hAnsi="仿宋" w:eastAsia="仿宋" w:cs="仿宋"/>
          <w:sz w:val="32"/>
          <w:szCs w:val="32"/>
        </w:rPr>
        <w:t xml:space="preserve"> </w:t>
      </w:r>
    </w:p>
    <w:p>
      <w:pPr>
        <w:numPr>
          <w:ilvl w:val="0"/>
          <w:numId w:val="4"/>
        </w:numPr>
        <w:adjustRightInd w:val="0"/>
        <w:snapToGrid w:val="0"/>
        <w:spacing w:line="600" w:lineRule="exact"/>
        <w:rPr>
          <w:rFonts w:ascii="仿宋" w:hAnsi="仿宋" w:eastAsia="仿宋" w:cs="仿宋"/>
          <w:b/>
          <w:sz w:val="32"/>
          <w:szCs w:val="32"/>
          <w:lang w:val="zh-CN"/>
        </w:rPr>
      </w:pPr>
      <w:r>
        <w:rPr>
          <w:rFonts w:hint="eastAsia" w:ascii="仿宋" w:hAnsi="仿宋" w:eastAsia="仿宋" w:cs="仿宋"/>
          <w:b/>
          <w:sz w:val="32"/>
          <w:szCs w:val="32"/>
          <w:lang w:val="zh-CN"/>
        </w:rPr>
        <w:t>项目监管情况</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为加强财政支出绩效管理，提高财政资金使用效益，根据《财政厅关于省级部门2021年度绩效运行自行监控工作的通知》（川财绩〔2021〕12号）的要求，我校对纳入绩效目标管理的项目开展了绩效监控；按照《财政厅关于开展预算绩效管理结果与预算安排挂钩定期清理评估报告工作的通知》（川财绩</w:t>
      </w:r>
      <w:r>
        <w:rPr>
          <w:rFonts w:hint="eastAsia" w:ascii="宋体" w:hAnsi="宋体" w:cs="宋体"/>
          <w:kern w:val="0"/>
          <w:sz w:val="32"/>
          <w:szCs w:val="32"/>
          <w:lang w:val="zh-CN"/>
        </w:rPr>
        <w:t>〔</w:t>
      </w:r>
      <w:r>
        <w:rPr>
          <w:rFonts w:hint="eastAsia" w:ascii="仿宋_GB2312" w:eastAsia="仿宋_GB2312"/>
          <w:kern w:val="0"/>
          <w:sz w:val="32"/>
          <w:szCs w:val="32"/>
          <w:lang w:val="zh-CN"/>
        </w:rPr>
        <w:t>2021</w:t>
      </w:r>
      <w:r>
        <w:rPr>
          <w:rFonts w:hint="eastAsia" w:ascii="宋体" w:hAnsi="宋体" w:cs="宋体"/>
          <w:kern w:val="0"/>
          <w:sz w:val="32"/>
          <w:szCs w:val="32"/>
          <w:lang w:val="zh-CN"/>
        </w:rPr>
        <w:t>〕</w:t>
      </w:r>
      <w:r>
        <w:rPr>
          <w:rFonts w:hint="eastAsia" w:ascii="仿宋_GB2312" w:eastAsia="仿宋_GB2312"/>
          <w:kern w:val="0"/>
          <w:sz w:val="32"/>
          <w:szCs w:val="32"/>
          <w:lang w:val="zh-CN"/>
        </w:rPr>
        <w:t>11号）要求，每月对项目执行情况进行了监督上报。</w:t>
      </w:r>
    </w:p>
    <w:p>
      <w:pPr>
        <w:adjustRightInd w:val="0"/>
        <w:snapToGrid w:val="0"/>
        <w:spacing w:line="600"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项目设定的数量指标2个，完成了2个。项目设定的质量指标1个，完成了1个。项目设定的时效指标2个，完成了2个。</w:t>
      </w:r>
    </w:p>
    <w:p>
      <w:pPr>
        <w:adjustRightInd w:val="0"/>
        <w:snapToGrid w:val="0"/>
        <w:spacing w:line="600" w:lineRule="exact"/>
        <w:ind w:firstLine="643" w:firstLineChars="200"/>
        <w:rPr>
          <w:rFonts w:ascii="仿宋" w:hAnsi="仿宋" w:eastAsia="仿宋" w:cs="仿宋"/>
          <w:b/>
          <w:color w:val="000000" w:themeColor="text1"/>
          <w:sz w:val="32"/>
          <w:szCs w:val="32"/>
          <w:lang w:val="zh-CN"/>
          <w14:textFill>
            <w14:solidFill>
              <w14:schemeClr w14:val="tx1"/>
            </w14:solidFill>
          </w14:textFill>
        </w:rPr>
      </w:pPr>
      <w:r>
        <w:rPr>
          <w:rFonts w:hint="eastAsia" w:ascii="仿宋" w:hAnsi="仿宋" w:eastAsia="仿宋" w:cs="仿宋"/>
          <w:b/>
          <w:color w:val="000000" w:themeColor="text1"/>
          <w:sz w:val="32"/>
          <w:szCs w:val="32"/>
          <w:lang w:val="zh-CN"/>
          <w14:textFill>
            <w14:solidFill>
              <w14:schemeClr w14:val="tx1"/>
            </w14:solidFill>
          </w14:textFill>
        </w:rPr>
        <w:t>（二）项目效益情况</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项目设定的工作任务全部完成，做好了常规教学、培训管理工作，完成了计划内各类培训班及对外培训各类培训学员的论培训任务，高质量完成了党校在职研究生教学、管理任务。不断强化与省直各部门、企事业单位和中央在川单位合作，培训质量全面提升。优化学历教育，加强教学教务管理，不断提高研究生教育水平。</w:t>
      </w:r>
    </w:p>
    <w:p>
      <w:pPr>
        <w:tabs>
          <w:tab w:val="left" w:pos="3885"/>
        </w:tabs>
        <w:snapToGrid w:val="0"/>
        <w:spacing w:line="600" w:lineRule="exact"/>
        <w:ind w:firstLine="420" w:firstLineChars="200"/>
        <w:rPr>
          <w:szCs w:val="21"/>
        </w:rPr>
      </w:pP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640" w:firstLineChars="200"/>
        <w:rPr>
          <w:rFonts w:ascii="仿宋" w:hAnsi="仿宋" w:eastAsia="仿宋" w:cs="仿宋"/>
          <w:sz w:val="32"/>
          <w:szCs w:val="32"/>
          <w:bdr w:val="single" w:color="auto" w:sz="4" w:space="0"/>
          <w:lang w:val="zh-CN"/>
        </w:rPr>
      </w:pPr>
      <w:r>
        <w:rPr>
          <w:rFonts w:hint="eastAsia" w:ascii="仿宋_GB2312" w:eastAsia="仿宋_GB2312"/>
          <w:kern w:val="0"/>
          <w:sz w:val="32"/>
          <w:szCs w:val="32"/>
          <w:lang w:val="zh-CN"/>
        </w:rPr>
        <w:t>该项目依规立项；该项目严格按相关方案执行；该项目资金使用合理合规；项目绩效指标设立的精确性还需进一步提高。</w:t>
      </w:r>
    </w:p>
    <w:p>
      <w:p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因疫情影响，我校对该项目资金安排还不够精准，故预算编制的准确性和执行进度还不够高。</w:t>
      </w:r>
    </w:p>
    <w:p>
      <w:pPr>
        <w:adjustRightInd w:val="0"/>
        <w:snapToGrid w:val="0"/>
        <w:spacing w:line="600" w:lineRule="exact"/>
        <w:ind w:firstLine="720"/>
        <w:rPr>
          <w:rFonts w:ascii="仿宋" w:hAnsi="仿宋" w:eastAsia="仿宋" w:cs="仿宋"/>
          <w:b/>
          <w:color w:val="000000" w:themeColor="text1"/>
          <w:sz w:val="32"/>
          <w:szCs w:val="32"/>
          <w:lang w:val="zh-CN"/>
          <w14:textFill>
            <w14:solidFill>
              <w14:schemeClr w14:val="tx1"/>
            </w14:solidFill>
          </w14:textFill>
        </w:rPr>
      </w:pPr>
      <w:r>
        <w:rPr>
          <w:rFonts w:hint="eastAsia" w:ascii="仿宋" w:hAnsi="仿宋" w:eastAsia="仿宋" w:cs="仿宋"/>
          <w:b/>
          <w:color w:val="000000" w:themeColor="text1"/>
          <w:sz w:val="32"/>
          <w:szCs w:val="32"/>
          <w:lang w:val="zh-CN"/>
          <w14:textFill>
            <w14:solidFill>
              <w14:schemeClr w14:val="tx1"/>
            </w14:solidFill>
          </w14:textFill>
        </w:rPr>
        <w:t>（三）相关建议</w:t>
      </w:r>
    </w:p>
    <w:p>
      <w:pPr>
        <w:adjustRightInd w:val="0"/>
        <w:snapToGrid w:val="0"/>
        <w:spacing w:line="600" w:lineRule="exact"/>
        <w:ind w:firstLine="640" w:firstLineChars="200"/>
        <w:rPr>
          <w:rFonts w:ascii="宋体" w:hAnsi="宋体" w:cs="宋体"/>
          <w:kern w:val="0"/>
          <w:sz w:val="32"/>
          <w:szCs w:val="32"/>
          <w:lang w:val="zh-CN"/>
        </w:rPr>
      </w:pPr>
      <w:r>
        <w:rPr>
          <w:rFonts w:hint="eastAsia" w:ascii="宋体" w:hAnsi="宋体" w:cs="宋体"/>
          <w:kern w:val="0"/>
          <w:sz w:val="32"/>
          <w:szCs w:val="32"/>
          <w:lang w:val="zh-CN"/>
        </w:rPr>
        <w:t>加强对项目开展情况的预判，进一步提升预决算编制的准确性，加强对项目实施进度的监管，据实调整项目绩效指标，进一步提高预算执行率。</w:t>
      </w:r>
    </w:p>
    <w:p>
      <w:pPr>
        <w:pStyle w:val="2"/>
        <w:spacing w:before="93"/>
        <w:rPr>
          <w:rFonts w:hint="eastAsia" w:eastAsiaTheme="minorEastAsia"/>
          <w:lang w:val="zh-CN"/>
        </w:rPr>
      </w:pPr>
    </w:p>
    <w:tbl>
      <w:tblPr>
        <w:tblStyle w:val="13"/>
        <w:tblpPr w:leftFromText="180" w:rightFromText="180" w:vertAnchor="text" w:horzAnchor="page" w:tblpX="1281" w:tblpY="660"/>
        <w:tblOverlap w:val="never"/>
        <w:tblW w:w="9577" w:type="dxa"/>
        <w:tblInd w:w="0" w:type="dxa"/>
        <w:tblLayout w:type="fixed"/>
        <w:tblCellMar>
          <w:top w:w="0" w:type="dxa"/>
          <w:left w:w="108" w:type="dxa"/>
          <w:bottom w:w="0" w:type="dxa"/>
          <w:right w:w="108" w:type="dxa"/>
        </w:tblCellMar>
      </w:tblPr>
      <w:tblGrid>
        <w:gridCol w:w="1977"/>
        <w:gridCol w:w="1142"/>
        <w:gridCol w:w="1635"/>
        <w:gridCol w:w="1189"/>
        <w:gridCol w:w="1224"/>
        <w:gridCol w:w="2410"/>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ascii="仿宋" w:hAnsi="仿宋" w:eastAsia="仿宋" w:cs="仿宋"/>
                <w:b/>
                <w:sz w:val="30"/>
                <w:szCs w:val="30"/>
              </w:rPr>
            </w:pPr>
            <w:r>
              <w:rPr>
                <w:rFonts w:hint="eastAsia" w:ascii="仿宋" w:hAnsi="仿宋" w:eastAsia="仿宋" w:cs="仿宋"/>
                <w:b/>
                <w:sz w:val="30"/>
                <w:szCs w:val="30"/>
              </w:rPr>
              <w:t>2021年100万元以上（含）特定目标类部门预算项目绩效目标自评</w:t>
            </w:r>
          </w:p>
        </w:tc>
      </w:tr>
      <w:tr>
        <w:tblPrEx>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 w:hAnsi="仿宋" w:eastAsia="仿宋" w:cs="仿宋"/>
                <w:sz w:val="28"/>
                <w:szCs w:val="28"/>
              </w:rPr>
            </w:pPr>
            <w:r>
              <w:rPr>
                <w:rFonts w:hint="eastAsia" w:ascii="仿宋" w:hAnsi="仿宋" w:eastAsia="仿宋" w:cs="仿宋"/>
                <w:sz w:val="28"/>
                <w:szCs w:val="28"/>
              </w:rPr>
              <w:t>中共四川省委省直机关党校618001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8"/>
                <w:szCs w:val="28"/>
              </w:rPr>
            </w:pPr>
            <w:r>
              <w:rPr>
                <w:rFonts w:hint="eastAsia" w:ascii="仿宋" w:hAnsi="仿宋" w:eastAsia="仿宋" w:cs="仿宋"/>
                <w:sz w:val="28"/>
                <w:szCs w:val="28"/>
              </w:rPr>
              <w:t>中共四川省委省直机关党校</w:t>
            </w:r>
          </w:p>
        </w:tc>
      </w:tr>
      <w:tr>
        <w:tblPrEx>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项目预算</w:t>
            </w:r>
            <w:r>
              <w:rPr>
                <w:rFonts w:hint="eastAsia" w:ascii="仿宋" w:hAnsi="仿宋" w:eastAsia="仿宋" w:cs="仿宋"/>
                <w:kern w:val="0"/>
                <w:sz w:val="28"/>
                <w:szCs w:val="28"/>
                <w:lang w:bidi="ar"/>
              </w:rPr>
              <w:br w:type="textWrapping"/>
            </w:r>
            <w:r>
              <w:rPr>
                <w:rFonts w:hint="eastAsia" w:ascii="仿宋" w:hAnsi="仿宋" w:eastAsia="仿宋" w:cs="仿宋"/>
                <w:kern w:val="0"/>
                <w:sz w:val="28"/>
                <w:szCs w:val="28"/>
                <w:lang w:bidi="ar"/>
              </w:rPr>
              <w:t>执行情况</w:t>
            </w:r>
            <w:r>
              <w:rPr>
                <w:rFonts w:hint="eastAsia" w:ascii="仿宋" w:hAnsi="仿宋" w:eastAsia="仿宋" w:cs="仿宋"/>
                <w:kern w:val="0"/>
                <w:sz w:val="28"/>
                <w:szCs w:val="28"/>
                <w:lang w:bidi="ar"/>
              </w:rPr>
              <w:br w:type="textWrapping"/>
            </w:r>
            <w:r>
              <w:rPr>
                <w:rFonts w:hint="eastAsia" w:ascii="仿宋" w:hAnsi="仿宋" w:eastAsia="仿宋" w:cs="仿宋"/>
                <w:kern w:val="0"/>
                <w:sz w:val="28"/>
                <w:szCs w:val="28"/>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8"/>
                <w:szCs w:val="28"/>
              </w:rPr>
            </w:pPr>
            <w:r>
              <w:rPr>
                <w:rFonts w:hint="eastAsia" w:ascii="仿宋" w:hAnsi="仿宋" w:eastAsia="仿宋" w:cs="仿宋"/>
                <w:kern w:val="0"/>
                <w:sz w:val="28"/>
                <w:szCs w:val="28"/>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8"/>
                <w:szCs w:val="28"/>
              </w:rPr>
            </w:pPr>
            <w:r>
              <w:rPr>
                <w:rFonts w:hint="eastAsia" w:ascii="仿宋" w:hAnsi="仿宋" w:eastAsia="仿宋" w:cs="仿宋"/>
                <w:sz w:val="28"/>
                <w:szCs w:val="28"/>
              </w:rPr>
              <w:t>1355.36万元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8"/>
                <w:szCs w:val="28"/>
              </w:rPr>
            </w:pPr>
            <w:r>
              <w:rPr>
                <w:rFonts w:hint="eastAsia" w:ascii="仿宋" w:hAnsi="仿宋" w:eastAsia="仿宋" w:cs="仿宋"/>
                <w:kern w:val="0"/>
                <w:sz w:val="28"/>
                <w:szCs w:val="28"/>
                <w:lang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仿宋" w:hAnsi="仿宋" w:eastAsia="仿宋" w:cs="仿宋"/>
                <w:sz w:val="28"/>
                <w:szCs w:val="28"/>
              </w:rPr>
            </w:pPr>
            <w:r>
              <w:rPr>
                <w:rFonts w:hint="eastAsia" w:ascii="仿宋" w:hAnsi="仿宋" w:eastAsia="仿宋" w:cs="仿宋"/>
                <w:sz w:val="28"/>
                <w:szCs w:val="28"/>
              </w:rPr>
              <w:t>898.34万元</w:t>
            </w:r>
          </w:p>
        </w:tc>
      </w:tr>
      <w:tr>
        <w:tblPrEx>
          <w:tblCellMar>
            <w:top w:w="0" w:type="dxa"/>
            <w:left w:w="108" w:type="dxa"/>
            <w:bottom w:w="0" w:type="dxa"/>
            <w:right w:w="108" w:type="dxa"/>
          </w:tblCellMar>
        </w:tblPrEx>
        <w:trPr>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其中：</w:t>
            </w:r>
          </w:p>
          <w:p>
            <w:pPr>
              <w:widowControl/>
              <w:spacing w:line="320" w:lineRule="exact"/>
              <w:jc w:val="left"/>
              <w:textAlignment w:val="center"/>
              <w:rPr>
                <w:rFonts w:ascii="仿宋" w:hAnsi="仿宋" w:eastAsia="仿宋" w:cs="仿宋"/>
                <w:sz w:val="28"/>
                <w:szCs w:val="28"/>
              </w:rPr>
            </w:pPr>
            <w:r>
              <w:rPr>
                <w:rFonts w:hint="eastAsia" w:ascii="仿宋" w:hAnsi="仿宋" w:eastAsia="仿宋" w:cs="仿宋"/>
                <w:kern w:val="0"/>
                <w:sz w:val="28"/>
                <w:szCs w:val="28"/>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8"/>
                <w:szCs w:val="28"/>
              </w:rPr>
            </w:pPr>
            <w:r>
              <w:rPr>
                <w:rFonts w:hint="eastAsia" w:ascii="仿宋" w:hAnsi="仿宋" w:eastAsia="仿宋" w:cs="仿宋"/>
                <w:sz w:val="28"/>
                <w:szCs w:val="28"/>
              </w:rPr>
              <w:t>549.21万元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其中：</w:t>
            </w:r>
          </w:p>
          <w:p>
            <w:pPr>
              <w:widowControl/>
              <w:spacing w:line="320" w:lineRule="exact"/>
              <w:jc w:val="left"/>
              <w:textAlignment w:val="center"/>
              <w:rPr>
                <w:rFonts w:ascii="仿宋" w:hAnsi="仿宋" w:eastAsia="仿宋" w:cs="仿宋"/>
                <w:sz w:val="28"/>
                <w:szCs w:val="28"/>
              </w:rPr>
            </w:pPr>
            <w:r>
              <w:rPr>
                <w:rFonts w:hint="eastAsia" w:ascii="仿宋" w:hAnsi="仿宋" w:eastAsia="仿宋" w:cs="仿宋"/>
                <w:kern w:val="0"/>
                <w:sz w:val="28"/>
                <w:szCs w:val="28"/>
                <w:lang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 w:hAnsi="仿宋" w:eastAsia="仿宋" w:cs="仿宋"/>
                <w:sz w:val="28"/>
                <w:szCs w:val="28"/>
              </w:rPr>
            </w:pPr>
            <w:r>
              <w:rPr>
                <w:rFonts w:hint="eastAsia" w:ascii="仿宋" w:hAnsi="仿宋" w:eastAsia="仿宋" w:cs="仿宋"/>
                <w:sz w:val="28"/>
                <w:szCs w:val="28"/>
              </w:rPr>
              <w:t>529.59万元</w:t>
            </w:r>
          </w:p>
        </w:tc>
      </w:tr>
      <w:tr>
        <w:tblPrEx>
          <w:tblCellMar>
            <w:top w:w="0" w:type="dxa"/>
            <w:left w:w="108" w:type="dxa"/>
            <w:bottom w:w="0" w:type="dxa"/>
            <w:right w:w="108" w:type="dxa"/>
          </w:tblCellMar>
        </w:tblPrEx>
        <w:trPr>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8"/>
                <w:szCs w:val="28"/>
              </w:rPr>
            </w:pPr>
            <w:r>
              <w:rPr>
                <w:rFonts w:hint="eastAsia" w:ascii="仿宋" w:hAnsi="仿宋" w:eastAsia="仿宋" w:cs="仿宋"/>
                <w:kern w:val="0"/>
                <w:sz w:val="28"/>
                <w:szCs w:val="28"/>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8"/>
                <w:szCs w:val="28"/>
              </w:rPr>
            </w:pPr>
            <w:r>
              <w:rPr>
                <w:rFonts w:hint="eastAsia" w:ascii="仿宋" w:hAnsi="仿宋" w:eastAsia="仿宋" w:cs="仿宋"/>
                <w:sz w:val="28"/>
                <w:szCs w:val="28"/>
              </w:rPr>
              <w:t>806.15万元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8"/>
                <w:szCs w:val="28"/>
                <w:highlight w:val="yellow"/>
              </w:rPr>
            </w:pPr>
            <w:r>
              <w:rPr>
                <w:rFonts w:hint="eastAsia" w:ascii="仿宋" w:hAnsi="仿宋" w:eastAsia="仿宋" w:cs="仿宋"/>
                <w:kern w:val="0"/>
                <w:sz w:val="28"/>
                <w:szCs w:val="28"/>
                <w:lang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8"/>
                <w:szCs w:val="28"/>
              </w:rPr>
            </w:pPr>
            <w:r>
              <w:rPr>
                <w:rFonts w:hint="eastAsia" w:ascii="仿宋" w:hAnsi="仿宋" w:eastAsia="仿宋" w:cs="仿宋"/>
                <w:sz w:val="28"/>
                <w:szCs w:val="28"/>
              </w:rPr>
              <w:t>368.75万元</w:t>
            </w:r>
          </w:p>
        </w:tc>
      </w:tr>
      <w:tr>
        <w:tblPrEx>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年度总体目标</w:t>
            </w:r>
          </w:p>
          <w:p>
            <w:pPr>
              <w:widowControl/>
              <w:spacing w:line="32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目标实际完成情况</w:t>
            </w:r>
          </w:p>
        </w:tc>
      </w:tr>
      <w:tr>
        <w:tblPrEx>
          <w:tblCellMar>
            <w:top w:w="0" w:type="dxa"/>
            <w:left w:w="108" w:type="dxa"/>
            <w:bottom w:w="0" w:type="dxa"/>
            <w:right w:w="108" w:type="dxa"/>
          </w:tblCellMar>
        </w:tblPrEx>
        <w:trPr>
          <w:trHeight w:val="797" w:hRule="atLeast"/>
        </w:trPr>
        <w:tc>
          <w:tcPr>
            <w:tcW w:w="19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3966" w:type="dxa"/>
            <w:gridSpan w:val="3"/>
            <w:tcBorders>
              <w:top w:val="single" w:color="000000" w:sz="4" w:space="0"/>
              <w:left w:val="single" w:color="000000" w:sz="4" w:space="0"/>
              <w:bottom w:val="single" w:color="auto" w:sz="4" w:space="0"/>
              <w:right w:val="single" w:color="000000" w:sz="4" w:space="0"/>
            </w:tcBorders>
            <w:shd w:val="clear" w:color="auto" w:fill="auto"/>
          </w:tcPr>
          <w:p>
            <w:pPr>
              <w:widowControl/>
              <w:spacing w:line="320" w:lineRule="exact"/>
              <w:jc w:val="left"/>
              <w:textAlignment w:val="top"/>
              <w:rPr>
                <w:rFonts w:ascii="仿宋" w:hAnsi="仿宋" w:eastAsia="仿宋" w:cs="仿宋"/>
                <w:sz w:val="28"/>
                <w:szCs w:val="28"/>
              </w:rPr>
            </w:pPr>
            <w:r>
              <w:rPr>
                <w:rFonts w:hint="eastAsia" w:ascii="仿宋" w:hAnsi="仿宋" w:eastAsia="仿宋" w:cs="仿宋"/>
                <w:sz w:val="28"/>
                <w:szCs w:val="28"/>
              </w:rPr>
              <w:t>紧盯一流目标，强化机关特色，有效提升培训质量。</w:t>
            </w:r>
          </w:p>
          <w:p>
            <w:pPr>
              <w:widowControl/>
              <w:spacing w:line="320" w:lineRule="exact"/>
              <w:jc w:val="left"/>
              <w:textAlignment w:val="top"/>
              <w:rPr>
                <w:rFonts w:ascii="仿宋" w:hAnsi="仿宋" w:eastAsia="仿宋" w:cs="仿宋"/>
                <w:sz w:val="28"/>
                <w:szCs w:val="28"/>
              </w:rPr>
            </w:pPr>
            <w:r>
              <w:rPr>
                <w:rFonts w:hint="eastAsia" w:ascii="仿宋" w:hAnsi="仿宋" w:eastAsia="仿宋" w:cs="仿宋"/>
                <w:sz w:val="28"/>
                <w:szCs w:val="28"/>
              </w:rPr>
              <w:t>1.高质量完成主体班培训任务，通过分类分级的干部教育培训，为治蜀兴川各项事业再上新台阶培养造就一支高素质干部人才队伍。2.办出外培品牌。不断强化与省直各部门、企事业单位和中央在川单位合作，力争培训规模不断扩大，培训质量全面提升。3.优化学历教育。做好省委党校在职研究生招生组织工作，加强教学教务管理，不断提高研究生教育水平。</w:t>
            </w:r>
          </w:p>
        </w:tc>
        <w:tc>
          <w:tcPr>
            <w:tcW w:w="3634" w:type="dxa"/>
            <w:gridSpan w:val="2"/>
            <w:tcBorders>
              <w:top w:val="single" w:color="000000" w:sz="4" w:space="0"/>
              <w:left w:val="single" w:color="000000" w:sz="4" w:space="0"/>
              <w:bottom w:val="single" w:color="auto" w:sz="4" w:space="0"/>
              <w:right w:val="single" w:color="000000" w:sz="4" w:space="0"/>
            </w:tcBorders>
            <w:shd w:val="clear" w:color="auto" w:fill="auto"/>
          </w:tcPr>
          <w:p>
            <w:pPr>
              <w:widowControl/>
              <w:spacing w:line="320" w:lineRule="exact"/>
              <w:jc w:val="left"/>
              <w:textAlignment w:val="top"/>
              <w:rPr>
                <w:rFonts w:ascii="仿宋" w:hAnsi="仿宋" w:eastAsia="仿宋" w:cs="仿宋"/>
                <w:sz w:val="28"/>
                <w:szCs w:val="28"/>
              </w:rPr>
            </w:pPr>
            <w:r>
              <w:rPr>
                <w:rFonts w:hint="eastAsia" w:ascii="仿宋" w:hAnsi="仿宋" w:eastAsia="仿宋" w:cs="仿宋"/>
                <w:sz w:val="28"/>
                <w:szCs w:val="28"/>
              </w:rPr>
              <w:t>紧盯一流目标，强化机关特色，有效提升培训质量。</w:t>
            </w:r>
          </w:p>
          <w:p>
            <w:pPr>
              <w:widowControl/>
              <w:spacing w:line="320" w:lineRule="exact"/>
              <w:jc w:val="left"/>
              <w:textAlignment w:val="top"/>
              <w:rPr>
                <w:rFonts w:ascii="仿宋" w:hAnsi="仿宋" w:eastAsia="仿宋" w:cs="仿宋"/>
                <w:sz w:val="28"/>
                <w:szCs w:val="28"/>
              </w:rPr>
            </w:pPr>
            <w:r>
              <w:rPr>
                <w:rFonts w:hint="eastAsia" w:ascii="仿宋" w:hAnsi="仿宋" w:eastAsia="仿宋" w:cs="仿宋"/>
                <w:sz w:val="28"/>
                <w:szCs w:val="28"/>
              </w:rPr>
              <w:t>1.高质量完成主体班培训任务，通过分类分级的干部教育培训，为治蜀兴川各项事业再上新台阶培养造就一支高素质干部人才队伍。2.办出外培品牌。不断强化与省直各部门、企事业单位和中央在川单位合作，力争培训规模不断扩大，培训质量全面提升。3.优化学历教育。做好省委党校在职研究生招生组织工作，加强教学教务管理，不断提高研究生教育水平。</w:t>
            </w:r>
          </w:p>
        </w:tc>
      </w:tr>
      <w:tr>
        <w:tblPrEx>
          <w:tblCellMar>
            <w:top w:w="0" w:type="dxa"/>
            <w:left w:w="108" w:type="dxa"/>
            <w:bottom w:w="0" w:type="dxa"/>
            <w:right w:w="108" w:type="dxa"/>
          </w:tblCellMar>
        </w:tblPrEx>
        <w:trPr>
          <w:trHeight w:val="693"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一级</w:t>
            </w:r>
          </w:p>
          <w:p>
            <w:pPr>
              <w:widowControl/>
              <w:spacing w:line="32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二级</w:t>
            </w:r>
          </w:p>
          <w:p>
            <w:pPr>
              <w:widowControl/>
              <w:spacing w:line="32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三级</w:t>
            </w:r>
          </w:p>
          <w:p>
            <w:pPr>
              <w:widowControl/>
              <w:spacing w:line="32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预期指标值</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实际完成指标值</w:t>
            </w:r>
          </w:p>
        </w:tc>
      </w:tr>
      <w:tr>
        <w:tblPrEx>
          <w:tblCellMar>
            <w:top w:w="0" w:type="dxa"/>
            <w:left w:w="108" w:type="dxa"/>
            <w:bottom w:w="0" w:type="dxa"/>
            <w:right w:w="108" w:type="dxa"/>
          </w:tblCellMar>
        </w:tblPrEx>
        <w:trPr>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ascii="仿宋" w:hAnsi="仿宋" w:eastAsia="仿宋" w:cs="仿宋"/>
                <w:kern w:val="0"/>
                <w:sz w:val="28"/>
                <w:szCs w:val="28"/>
                <w:lang w:bidi="ar"/>
              </w:rPr>
            </w:pPr>
            <w:r>
              <w:rPr>
                <w:rFonts w:hint="eastAsia" w:ascii="仿宋" w:hAnsi="仿宋" w:eastAsia="仿宋" w:cs="仿宋"/>
                <w:kern w:val="0"/>
                <w:sz w:val="28"/>
                <w:szCs w:val="28"/>
                <w:lang w:bidi="ar"/>
              </w:rPr>
              <w:t>完成</w:t>
            </w:r>
          </w:p>
          <w:p>
            <w:pPr>
              <w:widowControl/>
              <w:spacing w:line="320" w:lineRule="exact"/>
              <w:jc w:val="center"/>
              <w:textAlignment w:val="bottom"/>
              <w:rPr>
                <w:rFonts w:ascii="仿宋" w:hAnsi="仿宋" w:eastAsia="仿宋" w:cs="仿宋"/>
                <w:sz w:val="28"/>
                <w:szCs w:val="28"/>
              </w:rPr>
            </w:pPr>
            <w:r>
              <w:rPr>
                <w:rFonts w:hint="eastAsia" w:ascii="仿宋" w:hAnsi="仿宋" w:eastAsia="仿宋" w:cs="仿宋"/>
                <w:kern w:val="0"/>
                <w:sz w:val="28"/>
                <w:szCs w:val="28"/>
                <w:lang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kern w:val="0"/>
                <w:sz w:val="28"/>
                <w:szCs w:val="28"/>
                <w:lang w:bidi="ar"/>
              </w:rPr>
              <w:t>数量指标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1.培训人数</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≥10900人</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11741人</w:t>
            </w:r>
          </w:p>
        </w:tc>
      </w:tr>
      <w:tr>
        <w:tblPrEx>
          <w:tblCellMar>
            <w:top w:w="0" w:type="dxa"/>
            <w:left w:w="108" w:type="dxa"/>
            <w:bottom w:w="0" w:type="dxa"/>
            <w:right w:w="108" w:type="dxa"/>
          </w:tblCellMar>
        </w:tblPrEx>
        <w:trPr>
          <w:trHeight w:val="415" w:hRule="atLeast"/>
        </w:trPr>
        <w:tc>
          <w:tcPr>
            <w:tcW w:w="1977" w:type="dxa"/>
            <w:vMerge w:val="continue"/>
            <w:tcBorders>
              <w:top w:val="single" w:color="auto" w:sz="4" w:space="0"/>
              <w:left w:val="single" w:color="auto"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vMerge w:val="continue"/>
            <w:tcBorders>
              <w:top w:val="single" w:color="auto"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仿宋"/>
                <w:kern w:val="0"/>
                <w:sz w:val="28"/>
                <w:szCs w:val="28"/>
                <w:lang w:bidi="ar"/>
              </w:rPr>
            </w:pPr>
          </w:p>
        </w:tc>
        <w:tc>
          <w:tcPr>
            <w:tcW w:w="1635" w:type="dxa"/>
            <w:tcBorders>
              <w:top w:val="single" w:color="auto"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kern w:val="0"/>
                <w:sz w:val="28"/>
                <w:szCs w:val="28"/>
                <w:lang w:bidi="ar"/>
              </w:rPr>
            </w:pPr>
            <w:r>
              <w:rPr>
                <w:rFonts w:hint="eastAsia" w:ascii="仿宋" w:hAnsi="仿宋" w:eastAsia="仿宋" w:cs="仿宋"/>
                <w:kern w:val="0"/>
                <w:sz w:val="28"/>
                <w:szCs w:val="28"/>
                <w:lang w:bidi="ar"/>
              </w:rPr>
              <w:t>数量指标</w:t>
            </w:r>
          </w:p>
        </w:tc>
        <w:tc>
          <w:tcPr>
            <w:tcW w:w="1189" w:type="dxa"/>
            <w:tcBorders>
              <w:top w:val="single" w:color="auto"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2.培训班次</w:t>
            </w:r>
          </w:p>
        </w:tc>
        <w:tc>
          <w:tcPr>
            <w:tcW w:w="1224" w:type="dxa"/>
            <w:tcBorders>
              <w:top w:val="single" w:color="auto"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≥85</w:t>
            </w:r>
          </w:p>
        </w:tc>
        <w:tc>
          <w:tcPr>
            <w:tcW w:w="2410" w:type="dxa"/>
            <w:tcBorders>
              <w:top w:val="single" w:color="auto"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103个</w:t>
            </w:r>
          </w:p>
        </w:tc>
      </w:tr>
      <w:tr>
        <w:tblPrEx>
          <w:tblCellMar>
            <w:top w:w="0" w:type="dxa"/>
            <w:left w:w="108" w:type="dxa"/>
            <w:bottom w:w="0" w:type="dxa"/>
            <w:right w:w="108" w:type="dxa"/>
          </w:tblCellMar>
        </w:tblPrEx>
        <w:trPr>
          <w:trHeight w:val="415" w:hRule="atLeast"/>
        </w:trPr>
        <w:tc>
          <w:tcPr>
            <w:tcW w:w="1977"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仿宋"/>
                <w:kern w:val="0"/>
                <w:sz w:val="28"/>
                <w:szCs w:val="28"/>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kern w:val="0"/>
                <w:sz w:val="28"/>
                <w:szCs w:val="28"/>
                <w:lang w:bidi="ar"/>
              </w:rPr>
            </w:pPr>
            <w:r>
              <w:rPr>
                <w:rFonts w:hint="eastAsia" w:ascii="仿宋" w:hAnsi="仿宋" w:eastAsia="仿宋" w:cs="仿宋"/>
                <w:kern w:val="0"/>
                <w:sz w:val="28"/>
                <w:szCs w:val="28"/>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3.完成在职研究生招生数量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370人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377人</w:t>
            </w:r>
          </w:p>
        </w:tc>
      </w:tr>
      <w:tr>
        <w:tblPrEx>
          <w:tblCellMar>
            <w:top w:w="0" w:type="dxa"/>
            <w:left w:w="108" w:type="dxa"/>
            <w:bottom w:w="0" w:type="dxa"/>
            <w:right w:w="108" w:type="dxa"/>
          </w:tblCellMar>
        </w:tblPrEx>
        <w:trPr>
          <w:trHeight w:val="415" w:hRule="atLeast"/>
        </w:trPr>
        <w:tc>
          <w:tcPr>
            <w:tcW w:w="1977"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kern w:val="0"/>
                <w:sz w:val="28"/>
                <w:szCs w:val="28"/>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1.教务处：培训合格率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99%</w:t>
            </w:r>
          </w:p>
        </w:tc>
      </w:tr>
      <w:tr>
        <w:tblPrEx>
          <w:tblCellMar>
            <w:top w:w="0" w:type="dxa"/>
            <w:left w:w="108" w:type="dxa"/>
            <w:bottom w:w="0" w:type="dxa"/>
            <w:right w:w="108" w:type="dxa"/>
          </w:tblCellMar>
        </w:tblPrEx>
        <w:trPr>
          <w:trHeight w:val="415" w:hRule="atLeast"/>
        </w:trPr>
        <w:tc>
          <w:tcPr>
            <w:tcW w:w="1977"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kern w:val="0"/>
                <w:sz w:val="28"/>
                <w:szCs w:val="28"/>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2.外培处：结业考试合格率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98%</w:t>
            </w:r>
          </w:p>
        </w:tc>
      </w:tr>
      <w:tr>
        <w:tblPrEx>
          <w:tblCellMar>
            <w:top w:w="0" w:type="dxa"/>
            <w:left w:w="108" w:type="dxa"/>
            <w:bottom w:w="0" w:type="dxa"/>
            <w:right w:w="108" w:type="dxa"/>
          </w:tblCellMar>
        </w:tblPrEx>
        <w:trPr>
          <w:trHeight w:val="415" w:hRule="atLeast"/>
        </w:trPr>
        <w:tc>
          <w:tcPr>
            <w:tcW w:w="1977"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kern w:val="0"/>
                <w:sz w:val="28"/>
                <w:szCs w:val="28"/>
                <w:lang w:bidi="ar"/>
              </w:rPr>
            </w:pPr>
            <w:r>
              <w:rPr>
                <w:rFonts w:hint="eastAsia" w:ascii="仿宋" w:hAnsi="仿宋" w:eastAsia="仿宋" w:cs="仿宋"/>
                <w:kern w:val="0"/>
                <w:sz w:val="28"/>
                <w:szCs w:val="28"/>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3.党性教育研究部：培训合格率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98%</w:t>
            </w:r>
          </w:p>
        </w:tc>
      </w:tr>
      <w:tr>
        <w:tblPrEx>
          <w:tblCellMar>
            <w:top w:w="0" w:type="dxa"/>
            <w:left w:w="108" w:type="dxa"/>
            <w:bottom w:w="0" w:type="dxa"/>
            <w:right w:w="108" w:type="dxa"/>
          </w:tblCellMar>
        </w:tblPrEx>
        <w:trPr>
          <w:trHeight w:val="415" w:hRule="atLeast"/>
        </w:trPr>
        <w:tc>
          <w:tcPr>
            <w:tcW w:w="1977"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kern w:val="0"/>
                <w:sz w:val="28"/>
                <w:szCs w:val="28"/>
                <w:lang w:bidi="ar"/>
              </w:rPr>
            </w:pPr>
            <w:r>
              <w:rPr>
                <w:rFonts w:hint="eastAsia" w:ascii="仿宋" w:hAnsi="仿宋" w:eastAsia="仿宋" w:cs="仿宋"/>
                <w:kern w:val="0"/>
                <w:sz w:val="28"/>
                <w:szCs w:val="28"/>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1.培训计划按期完成率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100%</w:t>
            </w:r>
          </w:p>
        </w:tc>
      </w:tr>
      <w:tr>
        <w:tblPrEx>
          <w:tblCellMar>
            <w:top w:w="0" w:type="dxa"/>
            <w:left w:w="108" w:type="dxa"/>
            <w:bottom w:w="0" w:type="dxa"/>
            <w:right w:w="108" w:type="dxa"/>
          </w:tblCellMar>
        </w:tblPrEx>
        <w:trPr>
          <w:trHeight w:val="480" w:hRule="atLeast"/>
        </w:trPr>
        <w:tc>
          <w:tcPr>
            <w:tcW w:w="1977"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kern w:val="0"/>
                <w:sz w:val="28"/>
                <w:szCs w:val="28"/>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kern w:val="0"/>
                <w:sz w:val="28"/>
                <w:szCs w:val="28"/>
                <w:lang w:bidi="ar"/>
              </w:rPr>
              <w:t>效益</w:t>
            </w:r>
            <w:r>
              <w:rPr>
                <w:rFonts w:hint="eastAsia" w:ascii="仿宋" w:hAnsi="仿宋" w:eastAsia="仿宋" w:cs="仿宋"/>
                <w:kern w:val="0"/>
                <w:sz w:val="28"/>
                <w:szCs w:val="28"/>
                <w:lang w:bidi="ar"/>
              </w:rPr>
              <w:br w:type="textWrapping"/>
            </w:r>
            <w:r>
              <w:rPr>
                <w:rFonts w:hint="eastAsia" w:ascii="仿宋" w:hAnsi="仿宋" w:eastAsia="仿宋" w:cs="仿宋"/>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kern w:val="0"/>
                <w:sz w:val="28"/>
                <w:szCs w:val="28"/>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kern w:val="0"/>
                <w:sz w:val="28"/>
                <w:szCs w:val="28"/>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1.中央和省委最新理论和决策部署是否及时进课堂（主体班）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 w:hAnsi="仿宋" w:eastAsia="仿宋" w:cs="仿宋"/>
                <w:sz w:val="28"/>
                <w:szCs w:val="28"/>
              </w:rPr>
            </w:pPr>
            <w:r>
              <w:rPr>
                <w:rFonts w:hint="eastAsia" w:ascii="仿宋" w:hAnsi="仿宋" w:eastAsia="仿宋" w:cs="仿宋"/>
                <w:sz w:val="28"/>
                <w:szCs w:val="28"/>
              </w:rPr>
              <w:t>是</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是</w:t>
            </w:r>
          </w:p>
        </w:tc>
      </w:tr>
      <w:tr>
        <w:tblPrEx>
          <w:tblCellMar>
            <w:top w:w="0" w:type="dxa"/>
            <w:left w:w="108" w:type="dxa"/>
            <w:bottom w:w="0" w:type="dxa"/>
            <w:right w:w="108" w:type="dxa"/>
          </w:tblCellMar>
        </w:tblPrEx>
        <w:trPr>
          <w:trHeight w:val="480" w:hRule="atLeast"/>
        </w:trPr>
        <w:tc>
          <w:tcPr>
            <w:tcW w:w="1977"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kern w:val="0"/>
                <w:sz w:val="28"/>
                <w:szCs w:val="28"/>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2.主体班参训学员理论水平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显著提升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sz w:val="28"/>
                <w:szCs w:val="28"/>
              </w:rPr>
              <w:t>显著提升</w:t>
            </w:r>
          </w:p>
        </w:tc>
      </w:tr>
      <w:tr>
        <w:tblPrEx>
          <w:tblCellMar>
            <w:top w:w="0" w:type="dxa"/>
            <w:left w:w="108" w:type="dxa"/>
            <w:bottom w:w="0" w:type="dxa"/>
            <w:right w:w="108" w:type="dxa"/>
          </w:tblCellMar>
        </w:tblPrEx>
        <w:trPr>
          <w:trHeight w:val="577" w:hRule="atLeast"/>
        </w:trPr>
        <w:tc>
          <w:tcPr>
            <w:tcW w:w="1977"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 w:hAnsi="仿宋" w:eastAsia="仿宋" w:cs="仿宋"/>
                <w:sz w:val="28"/>
                <w:szCs w:val="28"/>
              </w:rPr>
            </w:pPr>
            <w:r>
              <w:rPr>
                <w:rFonts w:hint="eastAsia" w:ascii="仿宋" w:hAnsi="仿宋" w:eastAsia="仿宋" w:cs="仿宋"/>
                <w:kern w:val="0"/>
                <w:sz w:val="28"/>
                <w:szCs w:val="28"/>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kern w:val="0"/>
                <w:sz w:val="28"/>
                <w:szCs w:val="28"/>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r>
      <w:tr>
        <w:tblPrEx>
          <w:tblCellMar>
            <w:top w:w="0" w:type="dxa"/>
            <w:left w:w="108" w:type="dxa"/>
            <w:bottom w:w="0" w:type="dxa"/>
            <w:right w:w="108" w:type="dxa"/>
          </w:tblCellMar>
        </w:tblPrEx>
        <w:trPr>
          <w:trHeight w:val="530" w:hRule="atLeast"/>
        </w:trPr>
        <w:tc>
          <w:tcPr>
            <w:tcW w:w="1977" w:type="dxa"/>
            <w:vMerge w:val="continue"/>
            <w:tcBorders>
              <w:left w:val="single" w:color="auto"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r>
              <w:rPr>
                <w:rFonts w:hint="eastAsia" w:ascii="仿宋" w:hAnsi="仿宋" w:eastAsia="仿宋" w:cs="仿宋"/>
                <w:kern w:val="0"/>
                <w:sz w:val="28"/>
                <w:szCs w:val="28"/>
                <w:lang w:bidi="ar"/>
              </w:rPr>
              <w:t>满意</w:t>
            </w:r>
            <w:r>
              <w:rPr>
                <w:rFonts w:hint="eastAsia" w:ascii="仿宋" w:hAnsi="仿宋" w:eastAsia="仿宋" w:cs="仿宋"/>
                <w:kern w:val="0"/>
                <w:sz w:val="28"/>
                <w:szCs w:val="28"/>
                <w:lang w:bidi="ar"/>
              </w:rPr>
              <w:br w:type="textWrapping"/>
            </w:r>
            <w:r>
              <w:rPr>
                <w:rFonts w:hint="eastAsia" w:ascii="仿宋" w:hAnsi="仿宋" w:eastAsia="仿宋" w:cs="仿宋"/>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kern w:val="0"/>
                <w:sz w:val="28"/>
                <w:szCs w:val="28"/>
                <w:lang w:bidi="ar"/>
              </w:rPr>
            </w:pPr>
            <w:r>
              <w:rPr>
                <w:rFonts w:hint="eastAsia" w:ascii="仿宋" w:hAnsi="仿宋" w:eastAsia="仿宋" w:cs="仿宋"/>
                <w:kern w:val="0"/>
                <w:sz w:val="28"/>
                <w:szCs w:val="28"/>
                <w:lang w:bidi="ar"/>
              </w:rPr>
              <w:t>满意度</w:t>
            </w:r>
          </w:p>
          <w:p>
            <w:pPr>
              <w:widowControl/>
              <w:spacing w:line="320" w:lineRule="exact"/>
              <w:jc w:val="center"/>
              <w:textAlignment w:val="bottom"/>
              <w:rPr>
                <w:rFonts w:ascii="仿宋" w:hAnsi="仿宋" w:eastAsia="仿宋" w:cs="仿宋"/>
                <w:sz w:val="28"/>
                <w:szCs w:val="28"/>
              </w:rPr>
            </w:pPr>
            <w:r>
              <w:rPr>
                <w:rFonts w:hint="eastAsia" w:ascii="仿宋" w:hAnsi="仿宋" w:eastAsia="仿宋" w:cs="仿宋"/>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8"/>
                <w:szCs w:val="28"/>
              </w:rPr>
            </w:pPr>
          </w:p>
        </w:tc>
      </w:tr>
    </w:tbl>
    <w:p>
      <w:pPr>
        <w:pStyle w:val="31"/>
        <w:spacing w:line="600" w:lineRule="exact"/>
        <w:jc w:val="center"/>
        <w:rPr>
          <w:rFonts w:ascii="方正小标宋简体" w:hAnsi="方正小标宋简体" w:eastAsia="方正小标宋简体" w:cs="方正小标宋简体"/>
          <w:color w:val="auto"/>
          <w:kern w:val="2"/>
          <w:sz w:val="40"/>
          <w:szCs w:val="40"/>
          <w:lang w:val="en-US"/>
        </w:rPr>
      </w:pPr>
    </w:p>
    <w:p>
      <w:pPr>
        <w:pStyle w:val="31"/>
        <w:spacing w:line="600" w:lineRule="exact"/>
        <w:jc w:val="center"/>
        <w:rPr>
          <w:rFonts w:ascii="方正小标宋简体" w:hAnsi="方正小标宋简体" w:eastAsia="方正小标宋简体" w:cs="方正小标宋简体"/>
          <w:color w:val="auto"/>
          <w:kern w:val="2"/>
          <w:sz w:val="40"/>
          <w:szCs w:val="40"/>
          <w:lang w:val="en-US"/>
        </w:rPr>
      </w:pPr>
    </w:p>
    <w:p>
      <w:pPr>
        <w:pStyle w:val="31"/>
        <w:spacing w:line="600" w:lineRule="exact"/>
        <w:jc w:val="center"/>
        <w:rPr>
          <w:rFonts w:hint="eastAsia" w:ascii="方正小标宋简体" w:hAnsi="方正小标宋简体" w:eastAsia="方正小标宋简体" w:cs="方正小标宋简体"/>
          <w:color w:val="auto"/>
          <w:kern w:val="2"/>
          <w:sz w:val="40"/>
          <w:szCs w:val="40"/>
          <w:lang w:val="en-US"/>
        </w:rPr>
      </w:pPr>
    </w:p>
    <w:p>
      <w:pPr>
        <w:pStyle w:val="31"/>
        <w:spacing w:line="600" w:lineRule="exact"/>
        <w:jc w:val="center"/>
        <w:outlineLvl w:val="1"/>
        <w:rPr>
          <w:rFonts w:ascii="方正小标宋简体" w:hAnsi="方正小标宋简体" w:eastAsia="方正小标宋简体" w:cs="方正小标宋简体"/>
          <w:color w:val="auto"/>
          <w:kern w:val="2"/>
          <w:sz w:val="40"/>
          <w:szCs w:val="40"/>
        </w:rPr>
      </w:pPr>
      <w:bookmarkStart w:id="108" w:name="_Toc22845"/>
      <w:r>
        <w:rPr>
          <w:rFonts w:hint="eastAsia" w:ascii="方正小标宋简体" w:hAnsi="方正小标宋简体" w:eastAsia="方正小标宋简体" w:cs="方正小标宋简体"/>
          <w:color w:val="auto"/>
          <w:kern w:val="2"/>
          <w:sz w:val="40"/>
          <w:szCs w:val="40"/>
          <w:lang w:val="en-US"/>
        </w:rPr>
        <w:t>2022年</w:t>
      </w:r>
      <w:r>
        <w:rPr>
          <w:rFonts w:hint="eastAsia" w:ascii="方正小标宋简体" w:hAnsi="方正小标宋简体" w:eastAsia="方正小标宋简体" w:cs="方正小标宋简体"/>
          <w:color w:val="auto"/>
          <w:kern w:val="2"/>
          <w:sz w:val="40"/>
          <w:szCs w:val="40"/>
        </w:rPr>
        <w:t>部门预算项目支出绩效自评报告</w:t>
      </w:r>
      <w:bookmarkEnd w:id="108"/>
    </w:p>
    <w:p>
      <w:pPr>
        <w:pStyle w:val="31"/>
        <w:spacing w:line="600" w:lineRule="exact"/>
        <w:ind w:firstLine="883"/>
        <w:jc w:val="center"/>
        <w:outlineLvl w:val="1"/>
        <w:rPr>
          <w:rFonts w:ascii="仿宋_GB2312" w:hAnsi="宋体" w:eastAsia="仿宋_GB2312"/>
          <w:color w:val="auto"/>
          <w:kern w:val="2"/>
          <w:sz w:val="32"/>
          <w:szCs w:val="32"/>
        </w:rPr>
      </w:pPr>
      <w:bookmarkStart w:id="109" w:name="_Toc19650"/>
      <w:r>
        <w:rPr>
          <w:rFonts w:hint="eastAsia" w:ascii="仿宋_GB2312" w:hAnsi="宋体" w:eastAsia="仿宋_GB2312"/>
          <w:color w:val="auto"/>
          <w:kern w:val="2"/>
          <w:sz w:val="32"/>
          <w:szCs w:val="32"/>
        </w:rPr>
        <w:t>（科研和学科建设项目）</w:t>
      </w:r>
      <w:bookmarkEnd w:id="109"/>
    </w:p>
    <w:p>
      <w:pPr>
        <w:pStyle w:val="31"/>
        <w:spacing w:line="600" w:lineRule="exact"/>
        <w:ind w:firstLine="883"/>
        <w:jc w:val="center"/>
        <w:outlineLvl w:val="1"/>
        <w:rPr>
          <w:rFonts w:ascii="仿宋_GB2312" w:hAnsi="宋体" w:eastAsia="仿宋_GB2312"/>
          <w:color w:val="auto"/>
          <w:kern w:val="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pStyle w:val="24"/>
        <w:numPr>
          <w:ilvl w:val="0"/>
          <w:numId w:val="4"/>
        </w:numPr>
        <w:adjustRightInd w:val="0"/>
        <w:snapToGrid w:val="0"/>
        <w:spacing w:line="600" w:lineRule="exact"/>
        <w:ind w:firstLineChars="0"/>
        <w:rPr>
          <w:rFonts w:ascii="仿宋" w:hAnsi="仿宋" w:eastAsia="仿宋" w:cs="仿宋"/>
          <w:b/>
          <w:sz w:val="32"/>
          <w:szCs w:val="32"/>
          <w:lang w:val="zh-CN"/>
        </w:rPr>
      </w:pPr>
      <w:r>
        <w:rPr>
          <w:rFonts w:hint="eastAsia" w:ascii="仿宋" w:hAnsi="仿宋" w:eastAsia="仿宋" w:cs="仿宋"/>
          <w:b/>
          <w:sz w:val="32"/>
          <w:szCs w:val="32"/>
          <w:lang w:val="zh-CN"/>
        </w:rPr>
        <w:t>项目基本情况。</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1.该项目为我校科研资政、学科建设项目，为常年项目。按照校内科研经费管理办法，加强对科研经费的管理，提高科研经费使用效率，全力做好常规科研管理工作，高质量的完成校级课题、发布决策咨询课题等，加强智库建设，为省委省政府提供政策建议意见，有效发挥党校智库作用，提升科研和学术影响力。</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2.该项目为我校科研资政、学科建设项目，为常年项目。根据学校科研职能编立。</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3.我校科研和学科建设经费有以下办法：2015-2020年学科建设规划（川委机校</w:t>
      </w:r>
      <w:r>
        <w:rPr>
          <w:rFonts w:hint="eastAsia" w:ascii="宋体" w:hAnsi="宋体" w:cs="宋体"/>
          <w:kern w:val="0"/>
          <w:sz w:val="32"/>
          <w:szCs w:val="32"/>
          <w:lang w:val="zh-CN"/>
        </w:rPr>
        <w:t>〔</w:t>
      </w:r>
      <w:r>
        <w:rPr>
          <w:rFonts w:hint="eastAsia" w:ascii="仿宋_GB2312" w:eastAsia="仿宋_GB2312"/>
          <w:kern w:val="0"/>
          <w:sz w:val="32"/>
          <w:szCs w:val="32"/>
          <w:lang w:val="zh-CN"/>
        </w:rPr>
        <w:t>2015</w:t>
      </w:r>
      <w:r>
        <w:rPr>
          <w:rFonts w:hint="eastAsia" w:ascii="宋体" w:hAnsi="宋体" w:cs="宋体"/>
          <w:kern w:val="0"/>
          <w:sz w:val="32"/>
          <w:szCs w:val="32"/>
          <w:lang w:val="zh-CN"/>
        </w:rPr>
        <w:t>〕</w:t>
      </w:r>
      <w:r>
        <w:rPr>
          <w:rFonts w:hint="eastAsia" w:ascii="仿宋_GB2312" w:eastAsia="仿宋_GB2312"/>
          <w:kern w:val="0"/>
          <w:sz w:val="32"/>
          <w:szCs w:val="32"/>
          <w:lang w:val="zh-CN"/>
        </w:rPr>
        <w:t>4号）；决策咨询研究项目管理暂行办法、科研项目经费管理办法、科研成果推介转化资助管理办法、科研精品资助办法、横向项目管理办法、科研评审、鉴定、推荐管理办法等，符合科研课题、科研决策咨询以及科研相关奖励的支出都属于该项目范围。</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4.专项资金分配原则坚持科学性、合理性、高效性，围绕我校科研和学科建设具体工作开展情况，按需分配经费。</w:t>
      </w:r>
    </w:p>
    <w:p>
      <w:p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1.该项目主要内容为：完成校级课题、发布决策咨询课题，为省委省政府提供政策建议意见，加强学校智库建设。</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2.2021年应完成校级课题数量指标为43篇，完成决策咨询课题数量指标为18篇，为省委省政府提供政策建议意见数量指标为12篇，校级课题按时结题率为80%以上。</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3.项目设立程序经过严格评估论证，与部门职责相符，与相关部门同类项目或部门内部项目不重复，项目规划符合省委、省政府重大决策部署，与项目年度目标一致，项目绩效目标编制完整，充分细化量化 。对项目实施开展进行检查监控，对发现的问题进行了督促整改，项目方案制定、实施严格执行相关制度规定，项目资金使用符合相关的财务管理制度规定。</w:t>
      </w:r>
    </w:p>
    <w:p>
      <w:p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为做好绩效评价工作，规范和加强项目资金管理，切实提高项目资金的使用绩效和管理水平，由资金使用部门自评和财务人员自评相结合的方式，对科研和学科建设项目开展了绩效评价工作。</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为确保绩效评价工作落到实处，取得成效，我校对绩效评价指标体系进行了详细学习。对工作开展情况和项目经费进行了逐一梳理，并进行详细分析，形成了自评报告和自评表，自评分数为94.95分。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按照《四川省财政厅关于编制省级部门2021-2023年支出规划和2021年部门预算的通知》（川财预〔2020〕49号）有关要求，完成项目资金申报工作，经审人代会审核通过以后，领取了预算批复表。并根据预算公开相关要求完成了项目预算公开。</w:t>
      </w:r>
    </w:p>
    <w:p>
      <w:pPr>
        <w:adjustRightInd w:val="0"/>
        <w:snapToGrid w:val="0"/>
        <w:spacing w:line="600" w:lineRule="exact"/>
        <w:ind w:firstLine="720"/>
        <w:rPr>
          <w:rFonts w:ascii="仿宋" w:hAnsi="仿宋" w:eastAsia="仿宋" w:cs="仿宋"/>
          <w:sz w:val="32"/>
          <w:szCs w:val="32"/>
          <w:lang w:val="zh-CN"/>
        </w:rPr>
      </w:pPr>
      <w:r>
        <w:rPr>
          <w:rFonts w:hint="eastAsia" w:ascii="仿宋" w:hAnsi="仿宋" w:eastAsia="仿宋" w:cs="仿宋"/>
          <w:b/>
          <w:sz w:val="32"/>
          <w:szCs w:val="32"/>
          <w:lang w:val="zh-CN"/>
        </w:rPr>
        <w:t>（二）资金计划、到位及使用情况</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1.全年安排科研和学科建设项目资金总金额为105.2万元，其中：科研资助、科研评审、课题劳务等费用19万，学术专著出版、课题立项、调研、科研重点项目研发等费用78.2万，购买图书8万。</w:t>
      </w:r>
    </w:p>
    <w:p>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2.资金到位率100%。</w:t>
      </w:r>
    </w:p>
    <w:p>
      <w:pPr>
        <w:adjustRightInd w:val="0"/>
        <w:snapToGrid w:val="0"/>
        <w:spacing w:line="600" w:lineRule="exact"/>
        <w:ind w:firstLine="640" w:firstLineChars="200"/>
        <w:rPr>
          <w:rFonts w:ascii="仿宋" w:hAnsi="仿宋" w:eastAsia="仿宋" w:cs="仿宋"/>
          <w:sz w:val="32"/>
          <w:szCs w:val="32"/>
        </w:rPr>
      </w:pPr>
      <w:r>
        <w:rPr>
          <w:rFonts w:hint="eastAsia" w:ascii="仿宋_GB2312" w:eastAsia="仿宋_GB2312"/>
          <w:kern w:val="0"/>
          <w:sz w:val="32"/>
          <w:szCs w:val="32"/>
          <w:lang w:val="zh-CN"/>
        </w:rPr>
        <w:t>3.全年支出科研资助、科研评审、课题劳务等费用19万；学术专著出版、课题立项、调研、科研重点项目研发等费用78.2万；购买图书8万。资金的支付范围、支付标准、支付进度、支付依据均合规合法，与预算相符。</w:t>
      </w:r>
    </w:p>
    <w:p>
      <w:pPr>
        <w:adjustRightInd w:val="0"/>
        <w:snapToGrid w:val="0"/>
        <w:spacing w:line="600" w:lineRule="exact"/>
        <w:ind w:left="720"/>
        <w:rPr>
          <w:rFonts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spacing w:line="580" w:lineRule="exact"/>
        <w:ind w:firstLine="640" w:firstLineChars="200"/>
        <w:rPr>
          <w:rFonts w:ascii="仿宋" w:hAnsi="仿宋" w:eastAsia="仿宋" w:cs="仿宋"/>
          <w:sz w:val="32"/>
          <w:szCs w:val="32"/>
        </w:rPr>
      </w:pPr>
      <w:r>
        <w:rPr>
          <w:rFonts w:hint="eastAsia" w:ascii="仿宋_GB2312" w:eastAsia="仿宋_GB2312"/>
          <w:kern w:val="0"/>
          <w:sz w:val="32"/>
          <w:szCs w:val="32"/>
          <w:lang w:val="zh-CN"/>
        </w:rPr>
        <w:t>我校财务管理规定健全，明确了财务管理、实行事前报告制度、报销审核程序、报销时原始凭证应具备的要素、财务人员职责等。在资金使用上严格执行财务管理制度，并做到账务处理及时、会计核算规范。</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三、项目实施及管理情况</w:t>
      </w:r>
    </w:p>
    <w:p>
      <w:p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项目为我校科研资政、学科建设项目，为常年项目。按照校内科研经费管理办法，全力做好常规科研管理工作，高质量的完成校级课题、发布决策咨询课题等，加强智库建设，为省委省政府提供政策建议意见，有效发挥党校智库作用，提升科研和学术影响力。</w:t>
      </w:r>
    </w:p>
    <w:p>
      <w:pPr>
        <w:numPr>
          <w:ilvl w:val="0"/>
          <w:numId w:val="4"/>
        </w:numPr>
        <w:adjustRightInd w:val="0"/>
        <w:snapToGrid w:val="0"/>
        <w:spacing w:line="600" w:lineRule="exact"/>
        <w:rPr>
          <w:rFonts w:ascii="仿宋" w:hAnsi="仿宋" w:eastAsia="仿宋" w:cs="仿宋"/>
          <w:b/>
          <w:sz w:val="32"/>
          <w:szCs w:val="32"/>
          <w:lang w:val="zh-CN"/>
        </w:rPr>
      </w:pPr>
      <w:r>
        <w:rPr>
          <w:rFonts w:hint="eastAsia" w:ascii="仿宋" w:hAnsi="仿宋" w:eastAsia="仿宋" w:cs="仿宋"/>
          <w:b/>
          <w:sz w:val="32"/>
          <w:szCs w:val="32"/>
          <w:lang w:val="zh-CN"/>
        </w:rPr>
        <w:t>项目管理情况</w:t>
      </w:r>
    </w:p>
    <w:p>
      <w:pPr>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 xml:space="preserve">科研和学科建设项目严格执行科研项目经费管理办法、决策咨询研究项目管理暂行办法、科研成果推介转化资助管理办法、科研精品资助办法、横向项目管理办法、科研评审、鉴定、推荐管理办法等文件要求。 </w:t>
      </w:r>
    </w:p>
    <w:p>
      <w:pPr>
        <w:numPr>
          <w:ilvl w:val="0"/>
          <w:numId w:val="4"/>
        </w:numPr>
        <w:adjustRightInd w:val="0"/>
        <w:snapToGrid w:val="0"/>
        <w:spacing w:line="600" w:lineRule="exact"/>
        <w:rPr>
          <w:rFonts w:ascii="仿宋" w:hAnsi="仿宋" w:eastAsia="仿宋" w:cs="仿宋"/>
          <w:b/>
          <w:sz w:val="32"/>
          <w:szCs w:val="32"/>
          <w:lang w:val="zh-CN"/>
        </w:rPr>
      </w:pPr>
      <w:r>
        <w:rPr>
          <w:rFonts w:hint="eastAsia" w:ascii="仿宋" w:hAnsi="仿宋" w:eastAsia="仿宋" w:cs="仿宋"/>
          <w:b/>
          <w:sz w:val="32"/>
          <w:szCs w:val="32"/>
          <w:lang w:val="zh-CN"/>
        </w:rPr>
        <w:t>项目监管情况</w:t>
      </w:r>
    </w:p>
    <w:p>
      <w:pPr>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为加强财政支出绩效管理，提高财政资金使用效益，根据《财政厅关于省级部门2021年度绩效运行自行监控工作的通知》（川财绩〔2021〕12号）的要求，我校对纳入绩效目标管理的项目开展了绩效监控；按照《财政厅关于开展预算绩效管理结果与预算安排挂钩定期清理评估报告工作的通知》（川财绩</w:t>
      </w:r>
      <w:r>
        <w:rPr>
          <w:rFonts w:hint="eastAsia" w:ascii="宋体" w:hAnsi="宋体" w:cs="宋体"/>
          <w:kern w:val="0"/>
          <w:sz w:val="32"/>
          <w:szCs w:val="32"/>
          <w:lang w:val="zh-CN"/>
        </w:rPr>
        <w:t>〔</w:t>
      </w:r>
      <w:r>
        <w:rPr>
          <w:rFonts w:hint="eastAsia" w:ascii="仿宋_GB2312" w:eastAsia="仿宋_GB2312"/>
          <w:kern w:val="0"/>
          <w:sz w:val="32"/>
          <w:szCs w:val="32"/>
          <w:lang w:val="zh-CN"/>
        </w:rPr>
        <w:t>2021</w:t>
      </w:r>
      <w:r>
        <w:rPr>
          <w:rFonts w:hint="eastAsia" w:ascii="宋体" w:hAnsi="宋体" w:cs="宋体"/>
          <w:kern w:val="0"/>
          <w:sz w:val="32"/>
          <w:szCs w:val="32"/>
          <w:lang w:val="zh-CN"/>
        </w:rPr>
        <w:t>〕</w:t>
      </w:r>
      <w:r>
        <w:rPr>
          <w:rFonts w:hint="eastAsia" w:ascii="仿宋_GB2312" w:eastAsia="仿宋_GB2312"/>
          <w:kern w:val="0"/>
          <w:sz w:val="32"/>
          <w:szCs w:val="32"/>
          <w:lang w:val="zh-CN"/>
        </w:rPr>
        <w:t>11号）要求，每月对项目执行情况进行了监督上报。</w:t>
      </w:r>
    </w:p>
    <w:p>
      <w:pPr>
        <w:adjustRightInd w:val="0"/>
        <w:snapToGrid w:val="0"/>
        <w:spacing w:line="600"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（一）项目完成情况</w:t>
      </w:r>
    </w:p>
    <w:p>
      <w:pPr>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项目设定的数量指标3个，完成了1个。校级课题数量指标为43篇，实际完成了25篇；决策咨询课题数量指标为18篇，实际完成了20篇；为省委省政府提供政策建议意见数量指标为12篇，实际完成了10篇。原因分析：部份教师对校级课题发布周期预估不准确，发布周期较长，所以当年未能结项；部分教师为省委省政府提供政策建议意见书面材料已形成，待报送状态。项目设定的质量指标1个，校级课题按时结题率大于等于80%，该指标绩效未完成；项目设定的时效指标1个，未完成该指标绩效。</w:t>
      </w:r>
    </w:p>
    <w:p>
      <w:pPr>
        <w:adjustRightInd w:val="0"/>
        <w:snapToGrid w:val="0"/>
        <w:spacing w:line="600" w:lineRule="exact"/>
        <w:ind w:firstLine="720"/>
        <w:rPr>
          <w:rFonts w:ascii="仿宋" w:hAnsi="仿宋" w:eastAsia="仿宋" w:cs="仿宋"/>
          <w:b/>
          <w:color w:val="000000" w:themeColor="text1"/>
          <w:sz w:val="32"/>
          <w:szCs w:val="32"/>
          <w:lang w:val="zh-CN"/>
          <w14:textFill>
            <w14:solidFill>
              <w14:schemeClr w14:val="tx1"/>
            </w14:solidFill>
          </w14:textFill>
        </w:rPr>
      </w:pPr>
      <w:r>
        <w:rPr>
          <w:rFonts w:hint="eastAsia" w:ascii="仿宋" w:hAnsi="仿宋" w:eastAsia="仿宋" w:cs="仿宋"/>
          <w:b/>
          <w:color w:val="000000" w:themeColor="text1"/>
          <w:sz w:val="32"/>
          <w:szCs w:val="32"/>
          <w:lang w:val="zh-CN"/>
          <w14:textFill>
            <w14:solidFill>
              <w14:schemeClr w14:val="tx1"/>
            </w14:solidFill>
          </w14:textFill>
        </w:rPr>
        <w:t>（二）项目效益情况</w:t>
      </w:r>
    </w:p>
    <w:p>
      <w:pPr>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项目设定的工作任务基本完成，做好了常规科研管理工作，完成了校级课题、决策咨询课题等发布，加强了智库建设，为省委省政府提供了政策建议意见，有效发挥了党校智库作用，提升了科研和学术影响力。</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（一）评价结论</w:t>
      </w:r>
    </w:p>
    <w:p>
      <w:pPr>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该项目依规立项；该项目严格按相关方案执行；该项目资金使用合理合规；项目绩效指标设立的精确性还需进一步提高。</w:t>
      </w:r>
    </w:p>
    <w:p>
      <w:p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（二）存在的问题</w:t>
      </w:r>
    </w:p>
    <w:p>
      <w:pPr>
        <w:spacing w:line="58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因科研决策资政建议意见被领导采纳有很多不确定因素，科研、教学人员对校级课题的申报有不确定因素，我校对该项目绩效数量指标的量化还不够精准，预算绩效编制的准确性还不够高。</w:t>
      </w:r>
      <w:r>
        <w:rPr>
          <w:rFonts w:hint="eastAsia" w:ascii="仿宋_GB2312" w:eastAsia="仿宋_GB2312"/>
          <w:kern w:val="0"/>
          <w:sz w:val="32"/>
          <w:szCs w:val="32"/>
          <w:lang w:val="zh-CN"/>
        </w:rPr>
        <w:tab/>
      </w:r>
    </w:p>
    <w:p>
      <w:pPr>
        <w:adjustRightInd w:val="0"/>
        <w:snapToGrid w:val="0"/>
        <w:spacing w:line="600" w:lineRule="exact"/>
        <w:ind w:firstLine="720"/>
        <w:rPr>
          <w:rFonts w:ascii="仿宋" w:hAnsi="仿宋" w:eastAsia="仿宋" w:cs="仿宋"/>
          <w:b/>
          <w:color w:val="000000" w:themeColor="text1"/>
          <w:sz w:val="32"/>
          <w:szCs w:val="32"/>
          <w:lang w:val="zh-CN"/>
          <w14:textFill>
            <w14:solidFill>
              <w14:schemeClr w14:val="tx1"/>
            </w14:solidFill>
          </w14:textFill>
        </w:rPr>
      </w:pPr>
      <w:r>
        <w:rPr>
          <w:rFonts w:hint="eastAsia" w:ascii="仿宋" w:hAnsi="仿宋" w:eastAsia="仿宋" w:cs="仿宋"/>
          <w:b/>
          <w:color w:val="000000" w:themeColor="text1"/>
          <w:sz w:val="32"/>
          <w:szCs w:val="32"/>
          <w:lang w:val="zh-CN"/>
          <w14:textFill>
            <w14:solidFill>
              <w14:schemeClr w14:val="tx1"/>
            </w14:solidFill>
          </w14:textFill>
        </w:rPr>
        <w:t>（三）相关建议</w:t>
      </w:r>
    </w:p>
    <w:p>
      <w:pPr>
        <w:spacing w:line="580" w:lineRule="exact"/>
        <w:ind w:firstLine="640" w:firstLineChars="200"/>
        <w:rPr>
          <w:rFonts w:hint="eastAsia" w:ascii="仿宋_GB2312" w:eastAsia="仿宋_GB2312"/>
          <w:kern w:val="0"/>
          <w:sz w:val="32"/>
          <w:szCs w:val="32"/>
          <w:lang w:val="zh-CN"/>
        </w:rPr>
      </w:pPr>
      <w:r>
        <w:rPr>
          <w:rFonts w:hint="eastAsia" w:ascii="宋体" w:hAnsi="宋体" w:cs="宋体"/>
          <w:kern w:val="0"/>
          <w:sz w:val="32"/>
          <w:szCs w:val="32"/>
          <w:lang w:val="zh-CN"/>
        </w:rPr>
        <w:t>加强对项目开展情况的预判，进一步提升预决算编制的准确性，加强对项目实施进度的监管，据实调整项目绩效指标，进一步提高预算执行率。</w:t>
      </w:r>
    </w:p>
    <w:tbl>
      <w:tblPr>
        <w:tblStyle w:val="13"/>
        <w:tblpPr w:leftFromText="180" w:rightFromText="180" w:vertAnchor="text" w:horzAnchor="page" w:tblpX="1220" w:tblpY="1269"/>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仿宋" w:hAnsi="仿宋" w:eastAsia="仿宋" w:cs="仿宋"/>
                <w:b/>
                <w:sz w:val="30"/>
                <w:szCs w:val="30"/>
              </w:rPr>
            </w:pPr>
            <w:r>
              <w:rPr>
                <w:rFonts w:hint="eastAsia" w:ascii="仿宋" w:hAnsi="仿宋" w:eastAsia="仿宋" w:cs="仿宋"/>
                <w:b/>
                <w:sz w:val="30"/>
                <w:szCs w:val="30"/>
              </w:rPr>
              <w:t>2021年100万元以上（含）特定目标类部门预算项目绩效目标自评</w:t>
            </w:r>
          </w:p>
        </w:tc>
      </w:tr>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 w:hAnsi="仿宋" w:eastAsia="仿宋" w:cs="仿宋"/>
                <w:sz w:val="24"/>
              </w:rPr>
            </w:pPr>
            <w:r>
              <w:rPr>
                <w:rFonts w:hint="eastAsia" w:ascii="仿宋" w:hAnsi="仿宋" w:eastAsia="仿宋" w:cs="仿宋"/>
                <w:sz w:val="24"/>
              </w:rPr>
              <w:t>中共四川省委省直机关党校618001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中共四川省委省直机关党校</w:t>
            </w:r>
          </w:p>
        </w:tc>
      </w:tr>
      <w:tr>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lang w:bidi="ar"/>
              </w:rPr>
              <w:t>项目预算</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执行情况</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4"/>
              </w:rPr>
            </w:pPr>
            <w:r>
              <w:rPr>
                <w:rFonts w:hint="eastAsia" w:ascii="仿宋" w:hAnsi="仿宋" w:eastAsia="仿宋" w:cs="仿宋"/>
                <w:sz w:val="24"/>
              </w:rPr>
              <w:t>105.2万元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right="480"/>
              <w:jc w:val="right"/>
              <w:textAlignment w:val="center"/>
              <w:rPr>
                <w:rFonts w:ascii="仿宋" w:hAnsi="仿宋" w:eastAsia="仿宋" w:cs="仿宋"/>
                <w:sz w:val="24"/>
              </w:rPr>
            </w:pPr>
            <w:r>
              <w:rPr>
                <w:rFonts w:hint="eastAsia" w:ascii="仿宋" w:hAnsi="仿宋" w:eastAsia="仿宋" w:cs="仿宋"/>
                <w:sz w:val="24"/>
              </w:rPr>
              <w:t>105.10万元</w:t>
            </w:r>
          </w:p>
        </w:tc>
      </w:tr>
      <w:tr>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bidi="ar"/>
              </w:rPr>
              <w:t>其中：</w:t>
            </w:r>
          </w:p>
          <w:p>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4"/>
              </w:rPr>
            </w:pPr>
            <w:r>
              <w:rPr>
                <w:rFonts w:hint="eastAsia" w:ascii="仿宋" w:hAnsi="仿宋" w:eastAsia="仿宋" w:cs="仿宋"/>
                <w:sz w:val="24"/>
              </w:rPr>
              <w:t>70万元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bidi="ar"/>
              </w:rPr>
              <w:t>其中：</w:t>
            </w:r>
          </w:p>
          <w:p>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300"/>
              <w:textAlignment w:val="center"/>
              <w:rPr>
                <w:rFonts w:ascii="仿宋" w:hAnsi="仿宋" w:eastAsia="仿宋" w:cs="仿宋"/>
                <w:sz w:val="24"/>
              </w:rPr>
            </w:pPr>
            <w:r>
              <w:rPr>
                <w:rFonts w:hint="eastAsia" w:ascii="仿宋" w:hAnsi="仿宋" w:eastAsia="仿宋" w:cs="仿宋"/>
                <w:sz w:val="24"/>
              </w:rPr>
              <w:t>70万元</w:t>
            </w:r>
          </w:p>
        </w:tc>
      </w:tr>
      <w:tr>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4"/>
              </w:rPr>
            </w:pPr>
            <w:r>
              <w:rPr>
                <w:rFonts w:hint="eastAsia" w:ascii="仿宋" w:hAnsi="仿宋" w:eastAsia="仿宋" w:cs="仿宋"/>
                <w:sz w:val="24"/>
              </w:rPr>
              <w:t>35.2万元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35.10万元</w:t>
            </w:r>
          </w:p>
        </w:tc>
      </w:tr>
      <w:tr>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年度总体目标</w:t>
            </w:r>
          </w:p>
          <w:p>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lang w:bidi="ar"/>
              </w:rPr>
              <w:t>目标实际完成情况</w:t>
            </w:r>
          </w:p>
        </w:tc>
      </w:tr>
      <w:tr>
        <w:tblPrEx>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 w:hAnsi="仿宋" w:eastAsia="仿宋" w:cs="仿宋"/>
                <w:sz w:val="24"/>
              </w:rPr>
            </w:pPr>
            <w:r>
              <w:rPr>
                <w:rFonts w:hint="eastAsia" w:ascii="仿宋" w:hAnsi="仿宋" w:eastAsia="仿宋" w:cs="仿宋"/>
                <w:sz w:val="24"/>
              </w:rPr>
              <w:t>全力做好各教研部学术专著编辑出版工作；加强常规科研管理工作，高质量的完成校级课题不少于20项；组织教研人员积极申报国家、省各级各类课题；加强智库建设，为省委省政府提供政策建议意见不少于6篇，发布决策咨询课题不少于6个；开展科研精品资助。有效发挥党校智库作用，提升科研水平和学术影响力。</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 w:hAnsi="仿宋" w:eastAsia="仿宋" w:cs="仿宋"/>
                <w:sz w:val="24"/>
              </w:rPr>
            </w:pPr>
            <w:r>
              <w:rPr>
                <w:rFonts w:hint="eastAsia" w:ascii="仿宋" w:hAnsi="仿宋" w:eastAsia="仿宋" w:cs="仿宋"/>
                <w:sz w:val="24"/>
              </w:rPr>
              <w:t>全力做好各教研部学术专著编辑出版工作；加强常规科研管理工作，高质量的完成校级课题不少于20项；组织教研人员积极申报国家、省各级各类课题；加强智库建设，为省委省政府提供政策建议意见不少于6篇，发布决策咨询课题不少于6个；开展科研精品资助。有效发挥党校智库作用，提升科研水平和学术影响力。</w:t>
            </w:r>
          </w:p>
        </w:tc>
      </w:tr>
      <w:tr>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一级</w:t>
            </w:r>
          </w:p>
          <w:p>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二级</w:t>
            </w:r>
          </w:p>
          <w:p>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三级</w:t>
            </w:r>
          </w:p>
          <w:p>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lang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lang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lang w:bidi="ar"/>
              </w:rPr>
              <w:t>实际完成指标值</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仿宋"/>
                <w:kern w:val="0"/>
                <w:sz w:val="24"/>
                <w:lang w:bidi="ar"/>
              </w:rPr>
            </w:pPr>
            <w:r>
              <w:rPr>
                <w:rFonts w:hint="eastAsia" w:ascii="仿宋" w:hAnsi="仿宋" w:eastAsia="仿宋" w:cs="仿宋"/>
                <w:kern w:val="0"/>
                <w:sz w:val="24"/>
                <w:lang w:bidi="ar"/>
              </w:rPr>
              <w:t>完成</w:t>
            </w:r>
          </w:p>
          <w:p>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完成校级课题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≥43项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25项</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kern w:val="0"/>
                <w:sz w:val="24"/>
                <w:lang w:bidi="ar"/>
              </w:rPr>
            </w:pPr>
            <w:r>
              <w:rPr>
                <w:rFonts w:hint="eastAsia" w:ascii="仿宋" w:hAnsi="仿宋" w:eastAsia="仿宋" w:cs="仿宋"/>
                <w:kern w:val="0"/>
                <w:sz w:val="24"/>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为省委省政府提供政策建议意见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≥12篇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10篇</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kern w:val="0"/>
                <w:sz w:val="24"/>
                <w:lang w:bidi="ar"/>
              </w:rPr>
            </w:pPr>
            <w:r>
              <w:rPr>
                <w:rFonts w:hint="eastAsia" w:ascii="仿宋" w:hAnsi="仿宋" w:eastAsia="仿宋" w:cs="仿宋"/>
                <w:kern w:val="0"/>
                <w:sz w:val="24"/>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发布决策咨询课题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≥18个</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20个</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校级课题按时结题率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≥80%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60%</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校级课题完成时限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2021年12月前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2021年12月前</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lang w:bidi="ar"/>
              </w:rPr>
              <w:t>效益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r>
      <w:tr>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23" w:leftChars="87" w:hanging="240" w:hangingChars="100"/>
              <w:jc w:val="left"/>
              <w:textAlignment w:val="bottom"/>
              <w:rPr>
                <w:rFonts w:ascii="仿宋" w:hAnsi="仿宋" w:eastAsia="仿宋" w:cs="仿宋"/>
                <w:sz w:val="24"/>
              </w:rPr>
            </w:pPr>
            <w:r>
              <w:rPr>
                <w:rFonts w:hint="eastAsia" w:ascii="仿宋" w:hAnsi="仿宋" w:eastAsia="仿宋" w:cs="仿宋"/>
                <w:kern w:val="0"/>
                <w:sz w:val="24"/>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r>
      <w:tr>
        <w:tblPrEx>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lang w:bidi="ar"/>
              </w:rPr>
              <w:t>满意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kern w:val="0"/>
                <w:sz w:val="24"/>
                <w:lang w:bidi="ar"/>
              </w:rPr>
            </w:pPr>
            <w:r>
              <w:rPr>
                <w:rFonts w:hint="eastAsia" w:ascii="仿宋" w:hAnsi="仿宋" w:eastAsia="仿宋" w:cs="仿宋"/>
                <w:kern w:val="0"/>
                <w:sz w:val="24"/>
                <w:lang w:bidi="ar"/>
              </w:rPr>
              <w:t>满意度</w:t>
            </w:r>
          </w:p>
          <w:p>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sz w:val="24"/>
              </w:rPr>
            </w:pPr>
          </w:p>
        </w:tc>
      </w:tr>
    </w:tbl>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Fonts w:ascii="仿宋" w:hAnsi="仿宋" w:eastAsia="仿宋"/>
        </w:rPr>
      </w:pPr>
      <w:bookmarkStart w:id="110" w:name="_Toc11082"/>
      <w:bookmarkStart w:id="111" w:name="_Toc15396618"/>
      <w:r>
        <w:rPr>
          <w:rFonts w:hint="eastAsia" w:ascii="黑体" w:hAnsi="黑体" w:eastAsia="黑体"/>
          <w:sz w:val="44"/>
          <w:szCs w:val="44"/>
        </w:rPr>
        <w:t>第</w:t>
      </w:r>
      <w:r>
        <w:rPr>
          <w:rStyle w:val="25"/>
          <w:rFonts w:hint="eastAsia" w:ascii="黑体" w:hAnsi="黑体" w:eastAsia="黑体"/>
          <w:b w:val="0"/>
        </w:rPr>
        <w:t>五部分 附表</w:t>
      </w:r>
      <w:bookmarkEnd w:id="98"/>
      <w:bookmarkEnd w:id="110"/>
      <w:bookmarkEnd w:id="111"/>
      <w:bookmarkStart w:id="112" w:name="_Toc15396619"/>
    </w:p>
    <w:p>
      <w:pPr>
        <w:spacing w:line="580" w:lineRule="exact"/>
        <w:ind w:firstLine="640" w:firstLineChars="200"/>
        <w:rPr>
          <w:rFonts w:ascii="仿宋_GB2312" w:eastAsia="仿宋_GB2312"/>
          <w:kern w:val="0"/>
          <w:sz w:val="32"/>
          <w:szCs w:val="32"/>
          <w:lang w:val="zh-CN"/>
        </w:rPr>
      </w:pPr>
      <w:bookmarkStart w:id="113" w:name="_Toc27000"/>
      <w:r>
        <w:rPr>
          <w:rFonts w:hint="eastAsia" w:ascii="仿宋_GB2312" w:eastAsia="仿宋_GB2312"/>
          <w:kern w:val="0"/>
          <w:sz w:val="32"/>
          <w:szCs w:val="32"/>
          <w:lang w:val="zh-CN"/>
        </w:rPr>
        <w:t>一、收入支出决算总表</w:t>
      </w:r>
      <w:bookmarkEnd w:id="112"/>
      <w:bookmarkEnd w:id="113"/>
    </w:p>
    <w:p>
      <w:pPr>
        <w:spacing w:line="580" w:lineRule="exact"/>
        <w:ind w:firstLine="640" w:firstLineChars="200"/>
        <w:rPr>
          <w:rFonts w:ascii="仿宋_GB2312" w:eastAsia="仿宋_GB2312"/>
          <w:kern w:val="0"/>
          <w:sz w:val="32"/>
          <w:szCs w:val="32"/>
          <w:lang w:val="zh-CN"/>
        </w:rPr>
      </w:pPr>
      <w:bookmarkStart w:id="114" w:name="_Toc15396620"/>
      <w:bookmarkStart w:id="115" w:name="_Toc2001"/>
      <w:r>
        <w:rPr>
          <w:rFonts w:hint="eastAsia" w:ascii="仿宋_GB2312" w:eastAsia="仿宋_GB2312"/>
          <w:kern w:val="0"/>
          <w:sz w:val="32"/>
          <w:szCs w:val="32"/>
          <w:lang w:val="zh-CN"/>
        </w:rPr>
        <w:t>二、收入决算表</w:t>
      </w:r>
      <w:bookmarkEnd w:id="114"/>
      <w:bookmarkEnd w:id="115"/>
    </w:p>
    <w:p>
      <w:pPr>
        <w:spacing w:line="580" w:lineRule="exact"/>
        <w:ind w:firstLine="640" w:firstLineChars="200"/>
        <w:rPr>
          <w:rFonts w:ascii="仿宋_GB2312" w:eastAsia="仿宋_GB2312"/>
          <w:kern w:val="0"/>
          <w:sz w:val="32"/>
          <w:szCs w:val="32"/>
          <w:lang w:val="zh-CN"/>
        </w:rPr>
      </w:pPr>
      <w:bookmarkStart w:id="116" w:name="_Toc15396621"/>
      <w:bookmarkStart w:id="117" w:name="_Toc12167"/>
      <w:r>
        <w:rPr>
          <w:rFonts w:hint="eastAsia" w:ascii="仿宋_GB2312" w:eastAsia="仿宋_GB2312"/>
          <w:kern w:val="0"/>
          <w:sz w:val="32"/>
          <w:szCs w:val="32"/>
          <w:lang w:val="zh-CN"/>
        </w:rPr>
        <w:t>三、支出决算表</w:t>
      </w:r>
      <w:bookmarkEnd w:id="116"/>
      <w:bookmarkEnd w:id="117"/>
    </w:p>
    <w:p>
      <w:pPr>
        <w:spacing w:line="580" w:lineRule="exact"/>
        <w:ind w:firstLine="640" w:firstLineChars="200"/>
        <w:rPr>
          <w:rFonts w:ascii="仿宋_GB2312" w:eastAsia="仿宋_GB2312"/>
          <w:kern w:val="0"/>
          <w:sz w:val="32"/>
          <w:szCs w:val="32"/>
          <w:lang w:val="zh-CN"/>
        </w:rPr>
      </w:pPr>
      <w:bookmarkStart w:id="118" w:name="_Toc15396622"/>
      <w:bookmarkStart w:id="119" w:name="_Toc18384"/>
      <w:r>
        <w:rPr>
          <w:rFonts w:hint="eastAsia" w:ascii="仿宋_GB2312" w:eastAsia="仿宋_GB2312"/>
          <w:kern w:val="0"/>
          <w:sz w:val="32"/>
          <w:szCs w:val="32"/>
          <w:lang w:val="zh-CN"/>
        </w:rPr>
        <w:t>四、财政拨款收入支出决算总表</w:t>
      </w:r>
      <w:bookmarkEnd w:id="118"/>
      <w:bookmarkEnd w:id="119"/>
    </w:p>
    <w:p>
      <w:pPr>
        <w:spacing w:line="580" w:lineRule="exact"/>
        <w:ind w:firstLine="640" w:firstLineChars="200"/>
        <w:rPr>
          <w:rFonts w:ascii="仿宋_GB2312" w:eastAsia="仿宋_GB2312"/>
          <w:kern w:val="0"/>
          <w:sz w:val="32"/>
          <w:szCs w:val="32"/>
          <w:lang w:val="zh-CN"/>
        </w:rPr>
      </w:pPr>
      <w:bookmarkStart w:id="120" w:name="_Toc15396623"/>
      <w:bookmarkStart w:id="121" w:name="_Toc18856"/>
      <w:r>
        <w:rPr>
          <w:rFonts w:hint="eastAsia" w:ascii="仿宋_GB2312" w:eastAsia="仿宋_GB2312"/>
          <w:kern w:val="0"/>
          <w:sz w:val="32"/>
          <w:szCs w:val="32"/>
          <w:lang w:val="zh-CN"/>
        </w:rPr>
        <w:t>五、财政拨款支出决算明细表</w:t>
      </w:r>
      <w:bookmarkEnd w:id="120"/>
      <w:bookmarkEnd w:id="121"/>
      <w:bookmarkStart w:id="122" w:name="_Toc15396624"/>
    </w:p>
    <w:p>
      <w:pPr>
        <w:spacing w:line="580" w:lineRule="exact"/>
        <w:ind w:firstLine="640" w:firstLineChars="200"/>
        <w:rPr>
          <w:rFonts w:ascii="仿宋_GB2312" w:eastAsia="仿宋_GB2312"/>
          <w:kern w:val="0"/>
          <w:sz w:val="32"/>
          <w:szCs w:val="32"/>
          <w:lang w:val="zh-CN"/>
        </w:rPr>
      </w:pPr>
      <w:bookmarkStart w:id="123" w:name="_Toc14645"/>
      <w:r>
        <w:rPr>
          <w:rFonts w:hint="eastAsia" w:ascii="仿宋_GB2312" w:eastAsia="仿宋_GB2312"/>
          <w:kern w:val="0"/>
          <w:sz w:val="32"/>
          <w:szCs w:val="32"/>
          <w:lang w:val="zh-CN"/>
        </w:rPr>
        <w:t>六、一般公共预算财政拨款支出决算表</w:t>
      </w:r>
      <w:bookmarkEnd w:id="122"/>
      <w:bookmarkEnd w:id="123"/>
    </w:p>
    <w:p>
      <w:pPr>
        <w:spacing w:line="580" w:lineRule="exact"/>
        <w:ind w:firstLine="640" w:firstLineChars="200"/>
        <w:rPr>
          <w:rFonts w:ascii="仿宋_GB2312" w:eastAsia="仿宋_GB2312"/>
          <w:kern w:val="0"/>
          <w:sz w:val="32"/>
          <w:szCs w:val="32"/>
          <w:lang w:val="zh-CN"/>
        </w:rPr>
      </w:pPr>
      <w:bookmarkStart w:id="124" w:name="_Toc15396625"/>
      <w:bookmarkStart w:id="125" w:name="_Toc19391"/>
      <w:r>
        <w:rPr>
          <w:rFonts w:hint="eastAsia" w:ascii="仿宋_GB2312" w:eastAsia="仿宋_GB2312"/>
          <w:kern w:val="0"/>
          <w:sz w:val="32"/>
          <w:szCs w:val="32"/>
          <w:lang w:val="zh-CN"/>
        </w:rPr>
        <w:t>七、一般公共预算财政拨款支出决算明细表</w:t>
      </w:r>
      <w:bookmarkEnd w:id="124"/>
      <w:bookmarkEnd w:id="125"/>
    </w:p>
    <w:p>
      <w:pPr>
        <w:spacing w:line="580" w:lineRule="exact"/>
        <w:ind w:firstLine="640" w:firstLineChars="200"/>
        <w:rPr>
          <w:rFonts w:ascii="仿宋_GB2312" w:eastAsia="仿宋_GB2312"/>
          <w:kern w:val="0"/>
          <w:sz w:val="32"/>
          <w:szCs w:val="32"/>
          <w:lang w:val="zh-CN"/>
        </w:rPr>
      </w:pPr>
      <w:bookmarkStart w:id="126" w:name="_Toc15396626"/>
      <w:bookmarkStart w:id="127" w:name="_Toc28482"/>
      <w:r>
        <w:rPr>
          <w:rFonts w:hint="eastAsia" w:ascii="仿宋_GB2312" w:eastAsia="仿宋_GB2312"/>
          <w:kern w:val="0"/>
          <w:sz w:val="32"/>
          <w:szCs w:val="32"/>
          <w:lang w:val="zh-CN"/>
        </w:rPr>
        <w:t>八、一般公共预算财政拨款基本支出决算表</w:t>
      </w:r>
      <w:bookmarkEnd w:id="126"/>
      <w:bookmarkEnd w:id="127"/>
    </w:p>
    <w:p>
      <w:pPr>
        <w:spacing w:line="580" w:lineRule="exact"/>
        <w:ind w:firstLine="640" w:firstLineChars="200"/>
        <w:rPr>
          <w:rFonts w:ascii="仿宋_GB2312" w:eastAsia="仿宋_GB2312"/>
          <w:kern w:val="0"/>
          <w:sz w:val="32"/>
          <w:szCs w:val="32"/>
          <w:lang w:val="zh-CN"/>
        </w:rPr>
      </w:pPr>
      <w:bookmarkStart w:id="128" w:name="_Toc15396627"/>
      <w:bookmarkStart w:id="129" w:name="_Toc14150"/>
      <w:r>
        <w:rPr>
          <w:rFonts w:hint="eastAsia" w:ascii="仿宋_GB2312" w:eastAsia="仿宋_GB2312"/>
          <w:kern w:val="0"/>
          <w:sz w:val="32"/>
          <w:szCs w:val="32"/>
          <w:lang w:val="zh-CN"/>
        </w:rPr>
        <w:t>九、一般公共预算财政拨款项目支出决算表</w:t>
      </w:r>
      <w:bookmarkEnd w:id="128"/>
      <w:bookmarkEnd w:id="129"/>
    </w:p>
    <w:p>
      <w:pPr>
        <w:spacing w:line="580" w:lineRule="exact"/>
        <w:ind w:firstLine="640" w:firstLineChars="200"/>
        <w:rPr>
          <w:rFonts w:ascii="仿宋_GB2312" w:eastAsia="仿宋_GB2312"/>
          <w:kern w:val="0"/>
          <w:sz w:val="32"/>
          <w:szCs w:val="32"/>
          <w:lang w:val="zh-CN"/>
        </w:rPr>
      </w:pPr>
      <w:bookmarkStart w:id="130" w:name="_Toc15396628"/>
      <w:bookmarkStart w:id="131" w:name="_Toc15293"/>
      <w:r>
        <w:rPr>
          <w:rFonts w:hint="eastAsia" w:ascii="仿宋_GB2312" w:eastAsia="仿宋_GB2312"/>
          <w:kern w:val="0"/>
          <w:sz w:val="32"/>
          <w:szCs w:val="32"/>
          <w:lang w:val="zh-CN"/>
        </w:rPr>
        <w:t>十、一般公共预算财政拨款“三公”经费支出决算表</w:t>
      </w:r>
      <w:bookmarkEnd w:id="130"/>
      <w:bookmarkEnd w:id="131"/>
    </w:p>
    <w:p>
      <w:pPr>
        <w:spacing w:line="580" w:lineRule="exact"/>
        <w:ind w:firstLine="640" w:firstLineChars="200"/>
        <w:rPr>
          <w:rFonts w:ascii="仿宋_GB2312" w:eastAsia="仿宋_GB2312"/>
          <w:kern w:val="0"/>
          <w:sz w:val="32"/>
          <w:szCs w:val="32"/>
          <w:lang w:val="zh-CN"/>
        </w:rPr>
      </w:pPr>
      <w:bookmarkStart w:id="132" w:name="_Toc15396629"/>
      <w:bookmarkStart w:id="133" w:name="_Toc31809"/>
      <w:r>
        <w:rPr>
          <w:rFonts w:hint="eastAsia" w:ascii="仿宋_GB2312" w:eastAsia="仿宋_GB2312"/>
          <w:kern w:val="0"/>
          <w:sz w:val="32"/>
          <w:szCs w:val="32"/>
          <w:lang w:val="zh-CN"/>
        </w:rPr>
        <w:t>十一、政府性基金预算财政拨款收入支出决算表</w:t>
      </w:r>
      <w:bookmarkEnd w:id="132"/>
      <w:bookmarkEnd w:id="133"/>
    </w:p>
    <w:p>
      <w:pPr>
        <w:spacing w:line="580" w:lineRule="exact"/>
        <w:ind w:firstLine="640" w:firstLineChars="200"/>
        <w:rPr>
          <w:rFonts w:ascii="仿宋_GB2312" w:eastAsia="仿宋_GB2312"/>
          <w:kern w:val="0"/>
          <w:sz w:val="32"/>
          <w:szCs w:val="32"/>
          <w:lang w:val="zh-CN"/>
        </w:rPr>
      </w:pPr>
      <w:bookmarkStart w:id="134" w:name="_Toc15396630"/>
      <w:bookmarkStart w:id="135" w:name="_Toc26280"/>
      <w:r>
        <w:rPr>
          <w:rFonts w:hint="eastAsia" w:ascii="仿宋_GB2312" w:eastAsia="仿宋_GB2312"/>
          <w:kern w:val="0"/>
          <w:sz w:val="32"/>
          <w:szCs w:val="32"/>
          <w:lang w:val="zh-CN"/>
        </w:rPr>
        <w:t>十二、政府性基金预算财政拨款“三公”经费支出决算表</w:t>
      </w:r>
      <w:bookmarkEnd w:id="134"/>
      <w:bookmarkEnd w:id="135"/>
    </w:p>
    <w:p>
      <w:pPr>
        <w:spacing w:line="580" w:lineRule="exact"/>
        <w:ind w:firstLine="640" w:firstLineChars="200"/>
        <w:rPr>
          <w:rFonts w:ascii="仿宋_GB2312" w:eastAsia="仿宋_GB2312"/>
          <w:kern w:val="0"/>
          <w:sz w:val="32"/>
          <w:szCs w:val="32"/>
          <w:lang w:val="zh-CN"/>
        </w:rPr>
      </w:pPr>
      <w:bookmarkStart w:id="136" w:name="_Toc15396631"/>
      <w:bookmarkStart w:id="137" w:name="_Toc8843"/>
      <w:r>
        <w:rPr>
          <w:rFonts w:hint="eastAsia" w:ascii="仿宋_GB2312" w:eastAsia="仿宋_GB2312"/>
          <w:kern w:val="0"/>
          <w:sz w:val="32"/>
          <w:szCs w:val="32"/>
          <w:lang w:val="zh-CN"/>
        </w:rPr>
        <w:t>十三、国有资本经营预算财政拨款收入支出决算表</w:t>
      </w:r>
      <w:bookmarkEnd w:id="136"/>
      <w:bookmarkEnd w:id="137"/>
    </w:p>
    <w:p>
      <w:pPr>
        <w:spacing w:line="580" w:lineRule="exact"/>
        <w:ind w:firstLine="640" w:firstLineChars="200"/>
        <w:rPr>
          <w:rFonts w:ascii="仿宋_GB2312" w:eastAsia="仿宋_GB2312"/>
          <w:kern w:val="0"/>
          <w:sz w:val="32"/>
          <w:szCs w:val="32"/>
          <w:lang w:val="zh-CN"/>
        </w:rPr>
      </w:pPr>
      <w:bookmarkStart w:id="138" w:name="_Toc16590"/>
      <w:r>
        <w:rPr>
          <w:rFonts w:hint="eastAsia" w:ascii="仿宋_GB2312" w:eastAsia="仿宋_GB2312"/>
          <w:kern w:val="0"/>
          <w:sz w:val="32"/>
          <w:szCs w:val="32"/>
          <w:lang w:val="zh-CN"/>
        </w:rPr>
        <w:t>十四、国有资本经营预算财政拨款支出决算表</w:t>
      </w:r>
      <w:bookmarkEnd w:id="138"/>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永中宋体">
    <w:altName w:val="宋体"/>
    <w:panose1 w:val="00000000000000000000"/>
    <w:charset w:val="01"/>
    <w:family w:val="auto"/>
    <w:pitch w:val="default"/>
    <w:sig w:usb0="00000000" w:usb1="00000000" w:usb2="00000000" w:usb3="00000000" w:csb0="00000000" w:csb1="00000000"/>
  </w:font>
  <w:font w:name="Lucida Sans">
    <w:panose1 w:val="020B0602030504020204"/>
    <w:charset w:val="01"/>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3D92063"/>
    <w:multiLevelType w:val="multilevel"/>
    <w:tmpl w:val="73D92063"/>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mMTJjYjEwNTFjODNkMWVlOTFkZmFjODZlZjFkOD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47C2"/>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4636"/>
    <w:rsid w:val="0066343B"/>
    <w:rsid w:val="00664777"/>
    <w:rsid w:val="006748A4"/>
    <w:rsid w:val="00681A31"/>
    <w:rsid w:val="00683E73"/>
    <w:rsid w:val="006A3141"/>
    <w:rsid w:val="006A5E34"/>
    <w:rsid w:val="006B2422"/>
    <w:rsid w:val="006B2B9A"/>
    <w:rsid w:val="006C1937"/>
    <w:rsid w:val="006D52AA"/>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02A56"/>
    <w:rsid w:val="008118A8"/>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3C61"/>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3624"/>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3CF8"/>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11DD"/>
    <w:rsid w:val="00B03C9D"/>
    <w:rsid w:val="00B060AE"/>
    <w:rsid w:val="00B10517"/>
    <w:rsid w:val="00B14E76"/>
    <w:rsid w:val="00B161B8"/>
    <w:rsid w:val="00B2048C"/>
    <w:rsid w:val="00B310B9"/>
    <w:rsid w:val="00B350F7"/>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4802"/>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70A6"/>
    <w:rsid w:val="00CB4E70"/>
    <w:rsid w:val="00CC09B6"/>
    <w:rsid w:val="00CC666F"/>
    <w:rsid w:val="00CD1E3F"/>
    <w:rsid w:val="00CE44F6"/>
    <w:rsid w:val="00CE49DA"/>
    <w:rsid w:val="00CE7B61"/>
    <w:rsid w:val="00D00095"/>
    <w:rsid w:val="00D114F0"/>
    <w:rsid w:val="00D1382D"/>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1755"/>
    <w:rsid w:val="00DF28BC"/>
    <w:rsid w:val="00DF34B9"/>
    <w:rsid w:val="00E01053"/>
    <w:rsid w:val="00E07ACF"/>
    <w:rsid w:val="00E32A4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224A"/>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4755F"/>
    <w:rsid w:val="01727CDB"/>
    <w:rsid w:val="01B30437"/>
    <w:rsid w:val="01F44177"/>
    <w:rsid w:val="028C467A"/>
    <w:rsid w:val="03863E70"/>
    <w:rsid w:val="03A853D3"/>
    <w:rsid w:val="049501BB"/>
    <w:rsid w:val="04A47A5C"/>
    <w:rsid w:val="054144F3"/>
    <w:rsid w:val="0547571C"/>
    <w:rsid w:val="056E0609"/>
    <w:rsid w:val="066E0107"/>
    <w:rsid w:val="06E91BFD"/>
    <w:rsid w:val="07996F6E"/>
    <w:rsid w:val="0A2032A3"/>
    <w:rsid w:val="0A471AF2"/>
    <w:rsid w:val="0ACA6F28"/>
    <w:rsid w:val="0B0E29AF"/>
    <w:rsid w:val="0B927BA2"/>
    <w:rsid w:val="0C5165ED"/>
    <w:rsid w:val="0D373A47"/>
    <w:rsid w:val="0E495485"/>
    <w:rsid w:val="0E5F66CC"/>
    <w:rsid w:val="0F046CBD"/>
    <w:rsid w:val="0F5639BD"/>
    <w:rsid w:val="0F9C56B0"/>
    <w:rsid w:val="101860EC"/>
    <w:rsid w:val="10C055FF"/>
    <w:rsid w:val="118107EC"/>
    <w:rsid w:val="11B36778"/>
    <w:rsid w:val="11DD1A47"/>
    <w:rsid w:val="13102D16"/>
    <w:rsid w:val="13123588"/>
    <w:rsid w:val="13D50BC4"/>
    <w:rsid w:val="144A57CE"/>
    <w:rsid w:val="15612611"/>
    <w:rsid w:val="16BB723D"/>
    <w:rsid w:val="16EA1DDE"/>
    <w:rsid w:val="17702A02"/>
    <w:rsid w:val="1BA809D0"/>
    <w:rsid w:val="1BE8440E"/>
    <w:rsid w:val="1CB94A9E"/>
    <w:rsid w:val="1D155CEE"/>
    <w:rsid w:val="1D905BC0"/>
    <w:rsid w:val="1FEA5A5B"/>
    <w:rsid w:val="21A234E5"/>
    <w:rsid w:val="21BE7D8D"/>
    <w:rsid w:val="227F4065"/>
    <w:rsid w:val="228757E3"/>
    <w:rsid w:val="23860B96"/>
    <w:rsid w:val="240371BF"/>
    <w:rsid w:val="266E6BAA"/>
    <w:rsid w:val="275E3638"/>
    <w:rsid w:val="290A0FEA"/>
    <w:rsid w:val="2957138D"/>
    <w:rsid w:val="29FD04D3"/>
    <w:rsid w:val="2C725C4B"/>
    <w:rsid w:val="2C8A61B5"/>
    <w:rsid w:val="2D173C07"/>
    <w:rsid w:val="2DF04E50"/>
    <w:rsid w:val="2ED344F5"/>
    <w:rsid w:val="319F7F4E"/>
    <w:rsid w:val="34AC2E87"/>
    <w:rsid w:val="35646E1B"/>
    <w:rsid w:val="35A4533C"/>
    <w:rsid w:val="35C073F8"/>
    <w:rsid w:val="364307A9"/>
    <w:rsid w:val="3659703F"/>
    <w:rsid w:val="369F2539"/>
    <w:rsid w:val="36AA5135"/>
    <w:rsid w:val="36C626E3"/>
    <w:rsid w:val="379D506B"/>
    <w:rsid w:val="37E16F03"/>
    <w:rsid w:val="396D3686"/>
    <w:rsid w:val="39912D3E"/>
    <w:rsid w:val="39B1353A"/>
    <w:rsid w:val="3A513352"/>
    <w:rsid w:val="3A58523B"/>
    <w:rsid w:val="3AB05274"/>
    <w:rsid w:val="3B990ABF"/>
    <w:rsid w:val="3D524F7E"/>
    <w:rsid w:val="3D98207C"/>
    <w:rsid w:val="3D9D17E7"/>
    <w:rsid w:val="400923E1"/>
    <w:rsid w:val="40460404"/>
    <w:rsid w:val="4181748A"/>
    <w:rsid w:val="42817701"/>
    <w:rsid w:val="439604B5"/>
    <w:rsid w:val="44184095"/>
    <w:rsid w:val="44C85ABB"/>
    <w:rsid w:val="44E268DA"/>
    <w:rsid w:val="45D703A6"/>
    <w:rsid w:val="45FF375F"/>
    <w:rsid w:val="4732546E"/>
    <w:rsid w:val="473B6138"/>
    <w:rsid w:val="48362D3C"/>
    <w:rsid w:val="48B85E47"/>
    <w:rsid w:val="49DC5944"/>
    <w:rsid w:val="4A627F82"/>
    <w:rsid w:val="4A91767D"/>
    <w:rsid w:val="4B3D7857"/>
    <w:rsid w:val="4B4F25DA"/>
    <w:rsid w:val="4BE068DB"/>
    <w:rsid w:val="4D244CBF"/>
    <w:rsid w:val="4D577224"/>
    <w:rsid w:val="4DC030AB"/>
    <w:rsid w:val="4E00155C"/>
    <w:rsid w:val="4EAB630A"/>
    <w:rsid w:val="4ECE2238"/>
    <w:rsid w:val="4F802D68"/>
    <w:rsid w:val="4F845FD1"/>
    <w:rsid w:val="510D2AA8"/>
    <w:rsid w:val="517D7C2E"/>
    <w:rsid w:val="521D530A"/>
    <w:rsid w:val="522B63D0"/>
    <w:rsid w:val="52CD0741"/>
    <w:rsid w:val="52DD0040"/>
    <w:rsid w:val="542D5D29"/>
    <w:rsid w:val="54A5576D"/>
    <w:rsid w:val="563F0D76"/>
    <w:rsid w:val="567A0CA1"/>
    <w:rsid w:val="56897CA9"/>
    <w:rsid w:val="574A78DE"/>
    <w:rsid w:val="574D6E48"/>
    <w:rsid w:val="58C344FF"/>
    <w:rsid w:val="5A0315C2"/>
    <w:rsid w:val="5AF92295"/>
    <w:rsid w:val="5C545A2F"/>
    <w:rsid w:val="5CD71FC4"/>
    <w:rsid w:val="5D9D6F75"/>
    <w:rsid w:val="5E37000E"/>
    <w:rsid w:val="5F221E14"/>
    <w:rsid w:val="5FEA46E0"/>
    <w:rsid w:val="600A3125"/>
    <w:rsid w:val="60CE7B5E"/>
    <w:rsid w:val="611B4B9F"/>
    <w:rsid w:val="613528A4"/>
    <w:rsid w:val="62B10EC3"/>
    <w:rsid w:val="63DF6526"/>
    <w:rsid w:val="641A3C03"/>
    <w:rsid w:val="652A1A23"/>
    <w:rsid w:val="66467DF5"/>
    <w:rsid w:val="670D1E38"/>
    <w:rsid w:val="67377D3B"/>
    <w:rsid w:val="67441163"/>
    <w:rsid w:val="695A260F"/>
    <w:rsid w:val="6AC05CCF"/>
    <w:rsid w:val="6B192137"/>
    <w:rsid w:val="6C0645C1"/>
    <w:rsid w:val="6C4A05C8"/>
    <w:rsid w:val="6C895281"/>
    <w:rsid w:val="6CB3284F"/>
    <w:rsid w:val="6D4B6C1B"/>
    <w:rsid w:val="6E7E3605"/>
    <w:rsid w:val="6EFE1181"/>
    <w:rsid w:val="6F0D7D8B"/>
    <w:rsid w:val="6F293D3A"/>
    <w:rsid w:val="6F307C36"/>
    <w:rsid w:val="6F543924"/>
    <w:rsid w:val="6FF5CC65"/>
    <w:rsid w:val="708404D0"/>
    <w:rsid w:val="709F1517"/>
    <w:rsid w:val="715C0E4B"/>
    <w:rsid w:val="718C1A9B"/>
    <w:rsid w:val="71EB367C"/>
    <w:rsid w:val="72656765"/>
    <w:rsid w:val="72734D90"/>
    <w:rsid w:val="72E37CAF"/>
    <w:rsid w:val="73AD73D5"/>
    <w:rsid w:val="73B6EB34"/>
    <w:rsid w:val="73C162E1"/>
    <w:rsid w:val="73E13BF4"/>
    <w:rsid w:val="741C3E9E"/>
    <w:rsid w:val="75D558AA"/>
    <w:rsid w:val="788C3B40"/>
    <w:rsid w:val="79EE5BA4"/>
    <w:rsid w:val="7A4850B5"/>
    <w:rsid w:val="7A5C2227"/>
    <w:rsid w:val="7A894339"/>
    <w:rsid w:val="7B1D2BF3"/>
    <w:rsid w:val="7B705F89"/>
    <w:rsid w:val="7C0D2EFF"/>
    <w:rsid w:val="7C37425F"/>
    <w:rsid w:val="7C624616"/>
    <w:rsid w:val="7CB13EE3"/>
    <w:rsid w:val="7CEA4063"/>
    <w:rsid w:val="7E486DA5"/>
    <w:rsid w:val="7EEF11D3"/>
    <w:rsid w:val="7F8D0AFF"/>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字符"/>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字符"/>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字符"/>
    <w:link w:val="2"/>
    <w:qFormat/>
    <w:locked/>
    <w:uiPriority w:val="99"/>
    <w:rPr>
      <w:rFonts w:ascii="仿宋_GB2312" w:hAnsi="Times New Roman" w:eastAsia="仿宋_GB2312"/>
      <w:sz w:val="24"/>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(2)'!$B$1</c:f>
              <c:strCache>
                <c:ptCount val="1"/>
                <c:pt idx="0">
                  <c:v>2021年</c:v>
                </c:pt>
              </c:strCache>
            </c:strRef>
          </c:tx>
          <c:spPr>
            <a:solidFill>
              <a:srgbClr val="4472C4"/>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 (2)'!$A$2:$A$3</c:f>
              <c:strCache>
                <c:ptCount val="2"/>
                <c:pt idx="0">
                  <c:v>收入</c:v>
                </c:pt>
                <c:pt idx="1">
                  <c:v>支出</c:v>
                </c:pt>
              </c:strCache>
            </c:strRef>
          </c:cat>
          <c:val>
            <c:numRef>
              <c:f>'Sheet1 (2)'!$B$2:$B$3</c:f>
              <c:numCache>
                <c:formatCode>General</c:formatCode>
                <c:ptCount val="2"/>
                <c:pt idx="0">
                  <c:v>14774.03</c:v>
                </c:pt>
                <c:pt idx="1">
                  <c:v>14667.91</c:v>
                </c:pt>
              </c:numCache>
            </c:numRef>
          </c:val>
        </c:ser>
        <c:ser>
          <c:idx val="1"/>
          <c:order val="1"/>
          <c:tx>
            <c:strRef>
              <c:f>'Sheet1 (2)'!$C$1</c:f>
              <c:strCache>
                <c:ptCount val="1"/>
                <c:pt idx="0">
                  <c:v>2020年</c:v>
                </c:pt>
              </c:strCache>
            </c:strRef>
          </c:tx>
          <c:spPr>
            <a:solidFill>
              <a:srgbClr val="ED7D31"/>
            </a:solidFill>
            <a:ln>
              <a:noFill/>
            </a:ln>
          </c:spPr>
          <c:invertIfNegative val="0"/>
          <c:dLbls>
            <c:dLbl>
              <c:idx val="0"/>
              <c:layout>
                <c:manualLayout>
                  <c:x val="0.019762846"/>
                  <c:y val="0"/>
                </c:manualLayout>
              </c:layout>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9762846"/>
                  <c:y val="0"/>
                </c:manualLayout>
              </c:layout>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 (2)'!$A$2:$A$3</c:f>
              <c:strCache>
                <c:ptCount val="2"/>
                <c:pt idx="0">
                  <c:v>收入</c:v>
                </c:pt>
                <c:pt idx="1">
                  <c:v>支出</c:v>
                </c:pt>
              </c:strCache>
            </c:strRef>
          </c:cat>
          <c:val>
            <c:numRef>
              <c:f>'Sheet1 (2)'!$C$2:$C$3</c:f>
              <c:numCache>
                <c:formatCode>General</c:formatCode>
                <c:ptCount val="2"/>
                <c:pt idx="0">
                  <c:v>4796.15</c:v>
                </c:pt>
                <c:pt idx="1">
                  <c:v>4633.69</c:v>
                </c:pt>
              </c:numCache>
            </c:numRef>
          </c:val>
        </c:ser>
        <c:dLbls>
          <c:showLegendKey val="0"/>
          <c:showVal val="1"/>
          <c:showCatName val="0"/>
          <c:showSerName val="0"/>
          <c:showPercent val="0"/>
          <c:showBubbleSize val="0"/>
        </c:dLbls>
        <c:gapWidth val="150"/>
        <c:axId val="556183752"/>
        <c:axId val="1"/>
      </c:barChart>
      <c:catAx>
        <c:axId val="5561837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永中宋体"/>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永中宋体"/>
                <a:cs typeface="Lucida Sans" panose="020B0602030504020204"/>
              </a:defRPr>
            </a:pPr>
          </a:p>
        </c:txPr>
        <c:crossAx val="556183752"/>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永中宋体"/>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永中宋体"/>
          <a:cs typeface="Lucida Sans" panose="020B0602030504020204"/>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41</Pages>
  <Words>14687</Words>
  <Characters>15931</Characters>
  <Lines>124</Lines>
  <Paragraphs>35</Paragraphs>
  <TotalTime>37</TotalTime>
  <ScaleCrop>false</ScaleCrop>
  <LinksUpToDate>false</LinksUpToDate>
  <CharactersWithSpaces>16024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2022-08-26T04:32:00Z</dcterms:created>
  <dc:creator>曹颖</dc:creator>
  <cp:lastModifiedBy>想，飞</cp:lastModifiedBy>
  <cp:lastPrinted>2022-08-08T09:11:00Z</cp:lastPrinted>
  <dcterms:modified xsi:type="dcterms:W3CDTF">2022-08-26T05:43:12Z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D97A199B357B45B3A03867BD243CF450</vt:lpwstr>
  </property>
</Properties>
</file>