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sz w:val="30"/>
          <w:szCs w:val="30"/>
        </w:rPr>
      </w:pPr>
      <w:bookmarkStart w:id="0" w:name="_Toc15306267"/>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宋体" w:eastAsia="方正小标宋简体"/>
          <w:sz w:val="72"/>
          <w:szCs w:val="72"/>
        </w:rPr>
      </w:pPr>
      <w:bookmarkStart w:id="1" w:name="_Toc15378441"/>
      <w:bookmarkStart w:id="2" w:name="_Toc15396475"/>
      <w:bookmarkStart w:id="3" w:name="_Toc15377425"/>
      <w:bookmarkStart w:id="4" w:name="_Toc5834"/>
      <w:bookmarkStart w:id="5" w:name="_Toc15377193"/>
      <w:bookmarkStart w:id="6" w:name="_Toc15396597"/>
      <w:r>
        <w:rPr>
          <w:rFonts w:ascii="黑体" w:hAnsi="黑体" w:eastAsia="黑体"/>
          <w:sz w:val="72"/>
          <w:szCs w:val="72"/>
        </w:rPr>
        <w:t>20</w:t>
      </w:r>
      <w:r>
        <w:rPr>
          <w:rFonts w:hint="eastAsia" w:ascii="黑体" w:hAnsi="黑体" w:eastAsia="黑体"/>
          <w:sz w:val="72"/>
          <w:szCs w:val="72"/>
        </w:rPr>
        <w:t>20</w:t>
      </w:r>
      <w:r>
        <w:rPr>
          <w:rFonts w:hint="eastAsia" w:ascii="方正小标宋简体" w:hAnsi="宋体" w:eastAsia="方正小标宋简体"/>
          <w:sz w:val="72"/>
          <w:szCs w:val="72"/>
        </w:rPr>
        <w:t>年度</w:t>
      </w:r>
      <w:bookmarkEnd w:id="1"/>
      <w:bookmarkEnd w:id="2"/>
      <w:bookmarkEnd w:id="3"/>
      <w:bookmarkEnd w:id="4"/>
      <w:bookmarkEnd w:id="5"/>
      <w:bookmarkEnd w:id="6"/>
    </w:p>
    <w:p>
      <w:pPr>
        <w:adjustRightInd w:val="0"/>
        <w:snapToGrid w:val="0"/>
        <w:spacing w:line="360" w:lineRule="auto"/>
        <w:jc w:val="center"/>
        <w:outlineLvl w:val="0"/>
        <w:rPr>
          <w:rFonts w:ascii="方正小标宋简体" w:hAnsi="宋体" w:eastAsia="方正小标宋简体"/>
          <w:sz w:val="72"/>
          <w:szCs w:val="72"/>
        </w:rPr>
      </w:pPr>
      <w:bookmarkStart w:id="7" w:name="_Toc15378442"/>
      <w:bookmarkStart w:id="8" w:name="_Toc2936"/>
      <w:bookmarkStart w:id="9" w:name="_Toc15396598"/>
      <w:bookmarkStart w:id="10" w:name="_Toc15377194"/>
      <w:bookmarkStart w:id="11" w:name="_Toc15377426"/>
      <w:bookmarkStart w:id="12" w:name="_Toc15396476"/>
      <w:r>
        <w:rPr>
          <w:rFonts w:hint="eastAsia" w:ascii="方正小标宋简体" w:hAnsi="宋体" w:eastAsia="方正小标宋简体"/>
          <w:sz w:val="72"/>
          <w:szCs w:val="72"/>
        </w:rPr>
        <w:t>中共四川省</w:t>
      </w:r>
      <w:bookmarkEnd w:id="0"/>
      <w:bookmarkStart w:id="13" w:name="_Toc15306268"/>
      <w:r>
        <w:rPr>
          <w:rFonts w:hint="eastAsia" w:ascii="方正小标宋简体" w:hAnsi="宋体" w:eastAsia="方正小标宋简体"/>
          <w:sz w:val="72"/>
          <w:szCs w:val="72"/>
        </w:rPr>
        <w:t>委省直机关党校部门决算</w:t>
      </w:r>
      <w:bookmarkEnd w:id="7"/>
      <w:bookmarkEnd w:id="8"/>
      <w:bookmarkEnd w:id="9"/>
      <w:bookmarkEnd w:id="10"/>
      <w:bookmarkEnd w:id="11"/>
      <w:bookmarkEnd w:id="12"/>
      <w:bookmarkEnd w:id="13"/>
    </w:p>
    <w:p>
      <w:pPr>
        <w:widowControl/>
        <w:jc w:val="center"/>
        <w:rPr>
          <w:rFonts w:ascii="黑体" w:hAnsi="黑体" w:eastAsia="黑体"/>
          <w:sz w:val="48"/>
          <w:szCs w:val="48"/>
        </w:rPr>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pPr>
    </w:p>
    <w:p>
      <w:pPr>
        <w:widowControl/>
        <w:jc w:val="center"/>
        <w:rPr>
          <w:rFonts w:ascii="黑体" w:hAnsi="黑体" w:eastAsia="黑体"/>
          <w:sz w:val="48"/>
          <w:szCs w:val="48"/>
        </w:rPr>
      </w:pP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0"/>
      </w:pPr>
      <w:r>
        <w:rPr>
          <w:rFonts w:hint="eastAsia"/>
        </w:rPr>
        <w:t>公开时间：2021年8月30日</w:t>
      </w:r>
      <w:bookmarkStart w:id="14" w:name="_Toc15377196"/>
      <w:bookmarkStart w:id="15" w:name="_Toc15396599"/>
    </w:p>
    <w:p>
      <w:pPr>
        <w:pStyle w:val="10"/>
        <w:rPr>
          <w:sz w:val="24"/>
        </w:rPr>
      </w:pPr>
      <w:r>
        <w:rPr>
          <w:rFonts w:hint="eastAsia"/>
          <w:sz w:val="24"/>
        </w:rPr>
        <w:fldChar w:fldCharType="begin"/>
      </w:r>
      <w:r>
        <w:rPr>
          <w:rFonts w:hint="eastAsia"/>
          <w:sz w:val="24"/>
        </w:rPr>
        <w:instrText xml:space="preserve">TOC \o "1-2" \h \u </w:instrText>
      </w:r>
      <w:r>
        <w:rPr>
          <w:rFonts w:hint="eastAsia"/>
          <w:sz w:val="24"/>
        </w:rPr>
        <w:fldChar w:fldCharType="separate"/>
      </w:r>
    </w:p>
    <w:p>
      <w:pPr>
        <w:pStyle w:val="10"/>
        <w:adjustRightInd w:val="0"/>
        <w:snapToGrid w:val="0"/>
        <w:spacing w:before="0" w:line="440" w:lineRule="exact"/>
        <w:jc w:val="left"/>
        <w:rPr>
          <w:sz w:val="24"/>
        </w:rPr>
      </w:pPr>
      <w:r>
        <w:fldChar w:fldCharType="begin"/>
      </w:r>
      <w:r>
        <w:instrText xml:space="preserve"> HYPERLINK \l "_Toc11406" </w:instrText>
      </w:r>
      <w:r>
        <w:fldChar w:fldCharType="separate"/>
      </w:r>
      <w:r>
        <w:rPr>
          <w:rFonts w:hint="eastAsia"/>
          <w:sz w:val="24"/>
        </w:rPr>
        <w:t>第一部分 部门概况</w:t>
      </w:r>
      <w:r>
        <w:rPr>
          <w:rFonts w:hint="eastAsia"/>
          <w:sz w:val="24"/>
        </w:rPr>
        <w:tab/>
      </w:r>
      <w:r>
        <w:rPr>
          <w:rFonts w:hint="eastAsia"/>
          <w:sz w:val="24"/>
        </w:rPr>
        <w:fldChar w:fldCharType="begin"/>
      </w:r>
      <w:r>
        <w:rPr>
          <w:rFonts w:hint="eastAsia"/>
          <w:sz w:val="24"/>
        </w:rPr>
        <w:instrText xml:space="preserve"> PAGEREF _Toc11406 \h </w:instrText>
      </w:r>
      <w:r>
        <w:rPr>
          <w:rFonts w:hint="eastAsia"/>
          <w:sz w:val="24"/>
        </w:rPr>
        <w:fldChar w:fldCharType="separate"/>
      </w:r>
      <w:r>
        <w:rPr>
          <w:rFonts w:hint="eastAsia"/>
          <w:sz w:val="24"/>
        </w:rPr>
        <w:t>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"_Toc2379" </w:instrText>
      </w:r>
      <w:r>
        <w:fldChar w:fldCharType="separate"/>
      </w:r>
      <w:r>
        <w:rPr>
          <w:rFonts w:hint="eastAsia"/>
          <w:sz w:val="24"/>
        </w:rPr>
        <w:t>一、基本职能及主要工作</w:t>
      </w:r>
      <w:r>
        <w:rPr>
          <w:rFonts w:hint="eastAsia"/>
          <w:sz w:val="24"/>
        </w:rPr>
        <w:tab/>
      </w:r>
      <w:r>
        <w:rPr>
          <w:rFonts w:hint="eastAsia"/>
          <w:sz w:val="24"/>
        </w:rPr>
        <w:fldChar w:fldCharType="begin"/>
      </w:r>
      <w:r>
        <w:rPr>
          <w:rFonts w:hint="eastAsia"/>
          <w:sz w:val="24"/>
        </w:rPr>
        <w:instrText xml:space="preserve"> PAGEREF _Toc2379 \h </w:instrText>
      </w:r>
      <w:r>
        <w:rPr>
          <w:rFonts w:hint="eastAsia"/>
          <w:sz w:val="24"/>
        </w:rPr>
        <w:fldChar w:fldCharType="separate"/>
      </w:r>
      <w:r>
        <w:rPr>
          <w:rFonts w:hint="eastAsia"/>
          <w:sz w:val="24"/>
        </w:rPr>
        <w:t>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"_Toc2388" </w:instrText>
      </w:r>
      <w:r>
        <w:fldChar w:fldCharType="separate"/>
      </w:r>
      <w:r>
        <w:rPr>
          <w:rFonts w:hint="eastAsia"/>
          <w:sz w:val="24"/>
        </w:rPr>
        <w:t>二、机构设置</w:t>
      </w:r>
      <w:r>
        <w:rPr>
          <w:rFonts w:hint="eastAsia"/>
          <w:sz w:val="24"/>
        </w:rPr>
        <w:tab/>
      </w:r>
      <w:r>
        <w:rPr>
          <w:rFonts w:hint="eastAsia"/>
          <w:sz w:val="24"/>
        </w:rPr>
        <w:fldChar w:fldCharType="begin"/>
      </w:r>
      <w:r>
        <w:rPr>
          <w:rFonts w:hint="eastAsia"/>
          <w:sz w:val="24"/>
        </w:rPr>
        <w:instrText xml:space="preserve"> PAGEREF _Toc2388 \h </w:instrText>
      </w:r>
      <w:r>
        <w:rPr>
          <w:rFonts w:hint="eastAsia"/>
          <w:sz w:val="24"/>
        </w:rPr>
        <w:fldChar w:fldCharType="separate"/>
      </w:r>
      <w:r>
        <w:rPr>
          <w:rFonts w:hint="eastAsia"/>
          <w:sz w:val="24"/>
        </w:rPr>
        <w:t>2</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"_Toc9325" </w:instrText>
      </w:r>
      <w:r>
        <w:fldChar w:fldCharType="separate"/>
      </w:r>
      <w:r>
        <w:rPr>
          <w:rFonts w:hint="eastAsia"/>
          <w:sz w:val="24"/>
        </w:rPr>
        <w:t>第二部分 2020年度部门决算情况说明</w:t>
      </w:r>
      <w:r>
        <w:rPr>
          <w:rFonts w:hint="eastAsia"/>
          <w:sz w:val="24"/>
        </w:rPr>
        <w:tab/>
      </w:r>
      <w:r>
        <w:rPr>
          <w:rFonts w:hint="eastAsia"/>
          <w:sz w:val="24"/>
        </w:rPr>
        <w:fldChar w:fldCharType="begin"/>
      </w:r>
      <w:r>
        <w:rPr>
          <w:rFonts w:hint="eastAsia"/>
          <w:sz w:val="24"/>
        </w:rPr>
        <w:instrText xml:space="preserve"> PAGEREF _Toc9325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"_Toc10165" </w:instrText>
      </w:r>
      <w:r>
        <w:fldChar w:fldCharType="separate"/>
      </w:r>
      <w:r>
        <w:rPr>
          <w:rFonts w:hint="eastAsia"/>
          <w:sz w:val="24"/>
        </w:rPr>
        <w:t>一、收入支出决算总体情况说明</w:t>
      </w:r>
      <w:r>
        <w:rPr>
          <w:rFonts w:hint="eastAsia"/>
          <w:sz w:val="24"/>
        </w:rPr>
        <w:tab/>
      </w:r>
      <w:r>
        <w:rPr>
          <w:rFonts w:hint="eastAsia"/>
          <w:sz w:val="24"/>
        </w:rPr>
        <w:fldChar w:fldCharType="begin"/>
      </w:r>
      <w:r>
        <w:rPr>
          <w:rFonts w:hint="eastAsia"/>
          <w:sz w:val="24"/>
        </w:rPr>
        <w:instrText xml:space="preserve"> PAGEREF _Toc10165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"_Toc28047" </w:instrText>
      </w:r>
      <w:r>
        <w:fldChar w:fldCharType="separate"/>
      </w:r>
      <w:r>
        <w:rPr>
          <w:rFonts w:hint="eastAsia"/>
          <w:sz w:val="24"/>
        </w:rPr>
        <w:t>二、收入决算情况说明</w:t>
      </w:r>
      <w:r>
        <w:rPr>
          <w:rFonts w:hint="eastAsia"/>
          <w:sz w:val="24"/>
        </w:rPr>
        <w:tab/>
      </w:r>
      <w:r>
        <w:rPr>
          <w:rFonts w:hint="eastAsia"/>
          <w:sz w:val="24"/>
        </w:rPr>
        <w:fldChar w:fldCharType="begin"/>
      </w:r>
      <w:r>
        <w:rPr>
          <w:rFonts w:hint="eastAsia"/>
          <w:sz w:val="24"/>
        </w:rPr>
        <w:instrText xml:space="preserve"> PAGEREF _Toc28047 \h </w:instrText>
      </w:r>
      <w:r>
        <w:rPr>
          <w:rFonts w:hint="eastAsia"/>
          <w:sz w:val="24"/>
        </w:rPr>
        <w:fldChar w:fldCharType="separate"/>
      </w:r>
      <w:r>
        <w:rPr>
          <w:rFonts w:hint="eastAsia"/>
          <w:sz w:val="24"/>
        </w:rPr>
        <w:t>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"_Toc10334" </w:instrText>
      </w:r>
      <w:r>
        <w:fldChar w:fldCharType="separate"/>
      </w:r>
      <w:r>
        <w:rPr>
          <w:rFonts w:hint="eastAsia"/>
          <w:sz w:val="24"/>
        </w:rPr>
        <w:t>三、支出决算情况说明</w:t>
      </w:r>
      <w:r>
        <w:rPr>
          <w:rFonts w:hint="eastAsia"/>
          <w:sz w:val="24"/>
        </w:rPr>
        <w:tab/>
      </w:r>
      <w:r>
        <w:rPr>
          <w:rFonts w:hint="eastAsia"/>
          <w:sz w:val="24"/>
        </w:rPr>
        <w:fldChar w:fldCharType="begin"/>
      </w:r>
      <w:r>
        <w:rPr>
          <w:rFonts w:hint="eastAsia"/>
          <w:sz w:val="24"/>
        </w:rPr>
        <w:instrText xml:space="preserve"> PAGEREF _Toc10334 \h </w:instrText>
      </w:r>
      <w:r>
        <w:rPr>
          <w:rFonts w:hint="eastAsia"/>
          <w:sz w:val="24"/>
        </w:rPr>
        <w:fldChar w:fldCharType="separate"/>
      </w:r>
      <w:r>
        <w:rPr>
          <w:rFonts w:hint="eastAsia"/>
          <w:sz w:val="24"/>
        </w:rPr>
        <w:t>4</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"_Toc17403" </w:instrText>
      </w:r>
      <w:r>
        <w:fldChar w:fldCharType="separate"/>
      </w:r>
      <w:r>
        <w:rPr>
          <w:rFonts w:hint="eastAsia"/>
          <w:sz w:val="24"/>
        </w:rPr>
        <w:t>四、财政拨款收入支出决算总体情况说明</w:t>
      </w:r>
      <w:r>
        <w:rPr>
          <w:rFonts w:hint="eastAsia"/>
          <w:sz w:val="24"/>
        </w:rPr>
        <w:tab/>
      </w:r>
      <w:r>
        <w:rPr>
          <w:rFonts w:hint="eastAsia"/>
          <w:sz w:val="24"/>
        </w:rPr>
        <w:fldChar w:fldCharType="begin"/>
      </w:r>
      <w:r>
        <w:rPr>
          <w:rFonts w:hint="eastAsia"/>
          <w:sz w:val="24"/>
        </w:rPr>
        <w:instrText xml:space="preserve"> PAGEREF _Toc17403 \h </w:instrText>
      </w:r>
      <w:r>
        <w:rPr>
          <w:rFonts w:hint="eastAsia"/>
          <w:sz w:val="24"/>
        </w:rPr>
        <w:fldChar w:fldCharType="separate"/>
      </w:r>
      <w:r>
        <w:rPr>
          <w:rFonts w:hint="eastAsia"/>
          <w:sz w:val="24"/>
        </w:rPr>
        <w:t>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"_Toc31371" </w:instrText>
      </w:r>
      <w:r>
        <w:fldChar w:fldCharType="separate"/>
      </w:r>
      <w:r>
        <w:rPr>
          <w:rFonts w:hint="eastAsia"/>
          <w:sz w:val="24"/>
        </w:rPr>
        <w:t>五、一般公共预算财政拨款支出决算情况说明</w:t>
      </w:r>
      <w:r>
        <w:rPr>
          <w:rFonts w:hint="eastAsia"/>
          <w:sz w:val="24"/>
        </w:rPr>
        <w:tab/>
      </w:r>
      <w:r>
        <w:rPr>
          <w:rFonts w:hint="eastAsia"/>
          <w:sz w:val="24"/>
        </w:rPr>
        <w:fldChar w:fldCharType="begin"/>
      </w:r>
      <w:r>
        <w:rPr>
          <w:rFonts w:hint="eastAsia"/>
          <w:sz w:val="24"/>
        </w:rPr>
        <w:instrText xml:space="preserve"> PAGEREF _Toc31371 \h </w:instrText>
      </w:r>
      <w:r>
        <w:rPr>
          <w:rFonts w:hint="eastAsia"/>
          <w:sz w:val="24"/>
        </w:rPr>
        <w:fldChar w:fldCharType="separate"/>
      </w:r>
      <w:r>
        <w:rPr>
          <w:rFonts w:hint="eastAsia"/>
          <w:sz w:val="24"/>
        </w:rPr>
        <w:t>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"_Toc7409" </w:instrText>
      </w:r>
      <w:r>
        <w:fldChar w:fldCharType="separate"/>
      </w:r>
      <w:r>
        <w:rPr>
          <w:rFonts w:hint="eastAsia"/>
          <w:sz w:val="24"/>
        </w:rPr>
        <w:t>六、一般公共预算财政拨款基本支出决算情况说明</w:t>
      </w:r>
      <w:r>
        <w:rPr>
          <w:rFonts w:hint="eastAsia"/>
          <w:sz w:val="24"/>
        </w:rPr>
        <w:tab/>
      </w:r>
      <w:r>
        <w:rPr>
          <w:rFonts w:hint="eastAsia"/>
          <w:sz w:val="24"/>
        </w:rPr>
        <w:fldChar w:fldCharType="begin"/>
      </w:r>
      <w:r>
        <w:rPr>
          <w:rFonts w:hint="eastAsia"/>
          <w:sz w:val="24"/>
        </w:rPr>
        <w:instrText xml:space="preserve"> PAGEREF _Toc7409 \h </w:instrText>
      </w:r>
      <w:r>
        <w:rPr>
          <w:rFonts w:hint="eastAsia"/>
          <w:sz w:val="24"/>
        </w:rPr>
        <w:fldChar w:fldCharType="separate"/>
      </w:r>
      <w:r>
        <w:rPr>
          <w:rFonts w:hint="eastAsia"/>
          <w:sz w:val="24"/>
        </w:rPr>
        <w:t>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"_Toc7048" </w:instrText>
      </w:r>
      <w:r>
        <w:fldChar w:fldCharType="separate"/>
      </w:r>
      <w:r>
        <w:rPr>
          <w:rFonts w:hint="eastAsia"/>
          <w:sz w:val="24"/>
        </w:rPr>
        <w:t>七、“三公”经费财政拨款支出决算情况说明</w:t>
      </w:r>
      <w:r>
        <w:rPr>
          <w:rFonts w:hint="eastAsia"/>
          <w:sz w:val="24"/>
        </w:rPr>
        <w:tab/>
      </w:r>
      <w:r>
        <w:rPr>
          <w:rFonts w:hint="eastAsia"/>
          <w:sz w:val="24"/>
        </w:rPr>
        <w:fldChar w:fldCharType="begin"/>
      </w:r>
      <w:r>
        <w:rPr>
          <w:rFonts w:hint="eastAsia"/>
          <w:sz w:val="24"/>
        </w:rPr>
        <w:instrText xml:space="preserve"> PAGEREF _Toc7048 \h </w:instrText>
      </w:r>
      <w:r>
        <w:rPr>
          <w:rFonts w:hint="eastAsia"/>
          <w:sz w:val="24"/>
        </w:rPr>
        <w:fldChar w:fldCharType="separate"/>
      </w:r>
      <w:r>
        <w:rPr>
          <w:rFonts w:hint="eastAsia"/>
          <w:sz w:val="24"/>
        </w:rPr>
        <w:t>9</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"_Toc28948" </w:instrText>
      </w:r>
      <w:r>
        <w:fldChar w:fldCharType="separate"/>
      </w:r>
      <w:r>
        <w:rPr>
          <w:rFonts w:hint="eastAsia"/>
          <w:sz w:val="24"/>
        </w:rPr>
        <w:t>八、政府性基金预算支出决算情况说明</w:t>
      </w:r>
      <w:r>
        <w:rPr>
          <w:rFonts w:hint="eastAsia"/>
          <w:sz w:val="24"/>
        </w:rPr>
        <w:tab/>
      </w:r>
      <w:r>
        <w:rPr>
          <w:rFonts w:hint="eastAsia"/>
          <w:sz w:val="24"/>
        </w:rPr>
        <w:fldChar w:fldCharType="begin"/>
      </w:r>
      <w:r>
        <w:rPr>
          <w:rFonts w:hint="eastAsia"/>
          <w:sz w:val="24"/>
        </w:rPr>
        <w:instrText xml:space="preserve"> PAGEREF _Toc28948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"_Toc17730" </w:instrText>
      </w:r>
      <w:r>
        <w:fldChar w:fldCharType="separate"/>
      </w:r>
      <w:r>
        <w:rPr>
          <w:rFonts w:hint="eastAsia"/>
          <w:sz w:val="24"/>
        </w:rPr>
        <w:t>九、国有资本经营预算支出决算情况说明</w:t>
      </w:r>
      <w:r>
        <w:rPr>
          <w:rFonts w:hint="eastAsia"/>
          <w:sz w:val="24"/>
        </w:rPr>
        <w:tab/>
      </w:r>
      <w:r>
        <w:rPr>
          <w:rFonts w:hint="eastAsia"/>
          <w:sz w:val="24"/>
        </w:rPr>
        <w:fldChar w:fldCharType="begin"/>
      </w:r>
      <w:r>
        <w:rPr>
          <w:rFonts w:hint="eastAsia"/>
          <w:sz w:val="24"/>
        </w:rPr>
        <w:instrText xml:space="preserve"> PAGEREF _Toc17730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"_Toc5716" </w:instrText>
      </w:r>
      <w:r>
        <w:fldChar w:fldCharType="separate"/>
      </w:r>
      <w:r>
        <w:rPr>
          <w:rFonts w:hint="eastAsia"/>
          <w:sz w:val="24"/>
        </w:rPr>
        <w:t>十、其他重要事项的情况说明</w:t>
      </w:r>
      <w:r>
        <w:rPr>
          <w:rFonts w:hint="eastAsia"/>
          <w:sz w:val="24"/>
        </w:rPr>
        <w:tab/>
      </w:r>
      <w:r>
        <w:rPr>
          <w:rFonts w:hint="eastAsia"/>
          <w:sz w:val="24"/>
        </w:rPr>
        <w:fldChar w:fldCharType="begin"/>
      </w:r>
      <w:r>
        <w:rPr>
          <w:rFonts w:hint="eastAsia"/>
          <w:sz w:val="24"/>
        </w:rPr>
        <w:instrText xml:space="preserve"> PAGEREF _Toc5716 \h </w:instrText>
      </w:r>
      <w:r>
        <w:rPr>
          <w:rFonts w:hint="eastAsia"/>
          <w:sz w:val="24"/>
        </w:rPr>
        <w:fldChar w:fldCharType="separate"/>
      </w:r>
      <w:r>
        <w:rPr>
          <w:rFonts w:hint="eastAsia"/>
          <w:sz w:val="24"/>
        </w:rPr>
        <w:t>11</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"_Toc24823" </w:instrText>
      </w:r>
      <w:r>
        <w:fldChar w:fldCharType="separate"/>
      </w:r>
      <w:r>
        <w:rPr>
          <w:rFonts w:hint="eastAsia"/>
          <w:sz w:val="24"/>
        </w:rPr>
        <w:t>第三部分 名词解释</w:t>
      </w:r>
      <w:r>
        <w:rPr>
          <w:rFonts w:hint="eastAsia"/>
          <w:sz w:val="24"/>
        </w:rPr>
        <w:tab/>
      </w:r>
      <w:r>
        <w:rPr>
          <w:rFonts w:hint="eastAsia"/>
          <w:sz w:val="24"/>
        </w:rPr>
        <w:fldChar w:fldCharType="begin"/>
      </w:r>
      <w:r>
        <w:rPr>
          <w:rFonts w:hint="eastAsia"/>
          <w:sz w:val="24"/>
        </w:rPr>
        <w:instrText xml:space="preserve"> PAGEREF _Toc24823 \h </w:instrText>
      </w:r>
      <w:r>
        <w:rPr>
          <w:rFonts w:hint="eastAsia"/>
          <w:sz w:val="24"/>
        </w:rPr>
        <w:fldChar w:fldCharType="separate"/>
      </w:r>
      <w:r>
        <w:rPr>
          <w:rFonts w:hint="eastAsia"/>
          <w:sz w:val="24"/>
        </w:rPr>
        <w:t>24</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"_Toc30414" </w:instrText>
      </w:r>
      <w:r>
        <w:fldChar w:fldCharType="separate"/>
      </w:r>
      <w:r>
        <w:rPr>
          <w:rFonts w:hint="eastAsia"/>
          <w:sz w:val="24"/>
        </w:rPr>
        <w:t>第四部分 附件</w:t>
      </w:r>
      <w:r>
        <w:rPr>
          <w:rFonts w:hint="eastAsia"/>
          <w:sz w:val="24"/>
        </w:rPr>
        <w:tab/>
      </w:r>
      <w:r>
        <w:rPr>
          <w:rFonts w:hint="eastAsia"/>
          <w:sz w:val="24"/>
        </w:rPr>
        <w:fldChar w:fldCharType="begin"/>
      </w:r>
      <w:r>
        <w:rPr>
          <w:rFonts w:hint="eastAsia"/>
          <w:sz w:val="24"/>
        </w:rPr>
        <w:instrText xml:space="preserve"> PAGEREF _Toc30414 \h </w:instrText>
      </w:r>
      <w:r>
        <w:rPr>
          <w:rFonts w:hint="eastAsia"/>
          <w:sz w:val="24"/>
        </w:rPr>
        <w:fldChar w:fldCharType="separate"/>
      </w:r>
      <w:r>
        <w:rPr>
          <w:rFonts w:hint="eastAsia"/>
          <w:sz w:val="24"/>
        </w:rPr>
        <w:t>28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"_Toc17451" </w:instrText>
      </w:r>
      <w:r>
        <w:fldChar w:fldCharType="separate"/>
      </w:r>
      <w:r>
        <w:rPr>
          <w:rFonts w:hint="eastAsia"/>
          <w:sz w:val="24"/>
        </w:rPr>
        <w:t>附件1</w:t>
      </w:r>
      <w:r>
        <w:rPr>
          <w:rFonts w:hint="eastAsia"/>
          <w:sz w:val="24"/>
        </w:rPr>
        <w:tab/>
      </w:r>
      <w:r>
        <w:rPr>
          <w:rFonts w:hint="eastAsia"/>
          <w:sz w:val="24"/>
        </w:rPr>
        <w:fldChar w:fldCharType="begin"/>
      </w:r>
      <w:r>
        <w:rPr>
          <w:rFonts w:hint="eastAsia"/>
          <w:sz w:val="24"/>
        </w:rPr>
        <w:instrText xml:space="preserve"> PAGEREF _Toc17451 \h </w:instrText>
      </w:r>
      <w:r>
        <w:rPr>
          <w:rFonts w:hint="eastAsia"/>
          <w:sz w:val="24"/>
        </w:rPr>
        <w:fldChar w:fldCharType="separate"/>
      </w:r>
      <w:r>
        <w:rPr>
          <w:rFonts w:hint="eastAsia"/>
          <w:sz w:val="24"/>
        </w:rPr>
        <w:t>28</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"_Toc9260" </w:instrText>
      </w:r>
      <w:r>
        <w:fldChar w:fldCharType="separate"/>
      </w:r>
      <w:r>
        <w:rPr>
          <w:rFonts w:hint="eastAsia"/>
          <w:sz w:val="24"/>
        </w:rPr>
        <w:t>附件2</w:t>
      </w:r>
      <w:r>
        <w:rPr>
          <w:rFonts w:hint="eastAsia"/>
          <w:sz w:val="24"/>
        </w:rPr>
        <w:tab/>
      </w:r>
      <w:r>
        <w:rPr>
          <w:rFonts w:hint="eastAsia"/>
          <w:sz w:val="24"/>
        </w:rPr>
        <w:fldChar w:fldCharType="begin"/>
      </w:r>
      <w:r>
        <w:rPr>
          <w:rFonts w:hint="eastAsia"/>
          <w:sz w:val="24"/>
        </w:rPr>
        <w:instrText xml:space="preserve"> PAGEREF _Toc9260 \h </w:instrText>
      </w:r>
      <w:r>
        <w:rPr>
          <w:rFonts w:hint="eastAsia"/>
          <w:sz w:val="24"/>
        </w:rPr>
        <w:fldChar w:fldCharType="separate"/>
      </w:r>
      <w:r>
        <w:rPr>
          <w:rFonts w:hint="eastAsia"/>
          <w:sz w:val="24"/>
        </w:rPr>
        <w:t>33</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"_Toc24035" </w:instrText>
      </w:r>
      <w:r>
        <w:fldChar w:fldCharType="separate"/>
      </w:r>
      <w:r>
        <w:rPr>
          <w:rFonts w:hint="eastAsia"/>
          <w:sz w:val="24"/>
        </w:rPr>
        <w:t>附件3</w:t>
      </w:r>
      <w:r>
        <w:rPr>
          <w:rFonts w:hint="eastAsia"/>
          <w:sz w:val="24"/>
        </w:rPr>
        <w:tab/>
      </w:r>
      <w:r>
        <w:rPr>
          <w:rFonts w:hint="eastAsia"/>
          <w:sz w:val="24"/>
        </w:rPr>
        <w:fldChar w:fldCharType="begin"/>
      </w:r>
      <w:r>
        <w:rPr>
          <w:rFonts w:hint="eastAsia"/>
          <w:sz w:val="24"/>
        </w:rPr>
        <w:instrText xml:space="preserve"> PAGEREF _Toc24035 \h </w:instrText>
      </w:r>
      <w:r>
        <w:rPr>
          <w:rFonts w:hint="eastAsia"/>
          <w:sz w:val="24"/>
        </w:rPr>
        <w:fldChar w:fldCharType="separate"/>
      </w:r>
      <w:r>
        <w:rPr>
          <w:rFonts w:hint="eastAsia"/>
          <w:sz w:val="24"/>
        </w:rPr>
        <w:t>33</w:t>
      </w:r>
      <w:r>
        <w:rPr>
          <w:rFonts w:hint="eastAsia"/>
          <w:sz w:val="24"/>
        </w:rPr>
        <w:fldChar w:fldCharType="end"/>
      </w:r>
      <w:r>
        <w:rPr>
          <w:rFonts w:hint="eastAsia"/>
          <w:sz w:val="24"/>
        </w:rPr>
        <w:fldChar w:fldCharType="end"/>
      </w:r>
    </w:p>
    <w:p>
      <w:pPr>
        <w:pStyle w:val="10"/>
        <w:adjustRightInd w:val="0"/>
        <w:snapToGrid w:val="0"/>
        <w:spacing w:before="0" w:line="440" w:lineRule="exact"/>
        <w:jc w:val="left"/>
        <w:rPr>
          <w:sz w:val="24"/>
        </w:rPr>
      </w:pPr>
      <w:r>
        <w:fldChar w:fldCharType="begin"/>
      </w:r>
      <w:r>
        <w:instrText xml:space="preserve"> HYPERLINK \l "_Toc21388" </w:instrText>
      </w:r>
      <w:r>
        <w:fldChar w:fldCharType="separate"/>
      </w:r>
      <w:r>
        <w:rPr>
          <w:rFonts w:hint="eastAsia"/>
          <w:sz w:val="24"/>
        </w:rPr>
        <w:t>第五部分 附表</w:t>
      </w:r>
      <w:r>
        <w:rPr>
          <w:rFonts w:hint="eastAsia"/>
          <w:sz w:val="24"/>
        </w:rPr>
        <w:tab/>
      </w:r>
      <w:r>
        <w:rPr>
          <w:rFonts w:hint="eastAsia"/>
          <w:sz w:val="24"/>
        </w:rPr>
        <w:fldChar w:fldCharType="begin"/>
      </w:r>
      <w:r>
        <w:rPr>
          <w:rFonts w:hint="eastAsia"/>
          <w:sz w:val="24"/>
        </w:rPr>
        <w:instrText xml:space="preserve"> PAGEREF _Toc21388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"_Toc10307" </w:instrText>
      </w:r>
      <w:r>
        <w:fldChar w:fldCharType="separate"/>
      </w:r>
      <w:r>
        <w:rPr>
          <w:rFonts w:hint="eastAsia"/>
          <w:sz w:val="24"/>
        </w:rPr>
        <w:t>一、收入支出决算总表</w:t>
      </w:r>
      <w:r>
        <w:rPr>
          <w:rFonts w:hint="eastAsia"/>
          <w:sz w:val="24"/>
        </w:rPr>
        <w:tab/>
      </w:r>
      <w:r>
        <w:rPr>
          <w:rFonts w:hint="eastAsia"/>
          <w:sz w:val="24"/>
        </w:rPr>
        <w:fldChar w:fldCharType="begin"/>
      </w:r>
      <w:r>
        <w:rPr>
          <w:rFonts w:hint="eastAsia"/>
          <w:sz w:val="24"/>
        </w:rPr>
        <w:instrText xml:space="preserve"> PAGEREF _Toc10307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"_Toc22475" </w:instrText>
      </w:r>
      <w:r>
        <w:fldChar w:fldCharType="separate"/>
      </w:r>
      <w:r>
        <w:rPr>
          <w:rFonts w:hint="eastAsia"/>
          <w:sz w:val="24"/>
        </w:rPr>
        <w:t>二、收入决算表</w:t>
      </w:r>
      <w:r>
        <w:rPr>
          <w:rFonts w:hint="eastAsia"/>
          <w:sz w:val="24"/>
        </w:rPr>
        <w:tab/>
      </w:r>
      <w:r>
        <w:rPr>
          <w:rFonts w:hint="eastAsia"/>
          <w:sz w:val="24"/>
        </w:rPr>
        <w:fldChar w:fldCharType="begin"/>
      </w:r>
      <w:r>
        <w:rPr>
          <w:rFonts w:hint="eastAsia"/>
          <w:sz w:val="24"/>
        </w:rPr>
        <w:instrText xml:space="preserve"> PAGEREF _Toc22475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"_Toc16728" </w:instrText>
      </w:r>
      <w:r>
        <w:fldChar w:fldCharType="separate"/>
      </w:r>
      <w:r>
        <w:rPr>
          <w:rFonts w:hint="eastAsia"/>
          <w:sz w:val="24"/>
        </w:rPr>
        <w:t>三、支出决算表</w:t>
      </w:r>
      <w:r>
        <w:rPr>
          <w:rFonts w:hint="eastAsia"/>
          <w:sz w:val="24"/>
        </w:rPr>
        <w:tab/>
      </w:r>
      <w:r>
        <w:rPr>
          <w:rFonts w:hint="eastAsia"/>
          <w:sz w:val="24"/>
        </w:rPr>
        <w:fldChar w:fldCharType="begin"/>
      </w:r>
      <w:r>
        <w:rPr>
          <w:rFonts w:hint="eastAsia"/>
          <w:sz w:val="24"/>
        </w:rPr>
        <w:instrText xml:space="preserve"> PAGEREF _Toc16728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"_Toc22707" </w:instrText>
      </w:r>
      <w:r>
        <w:fldChar w:fldCharType="separate"/>
      </w:r>
      <w:r>
        <w:rPr>
          <w:rFonts w:hint="eastAsia"/>
          <w:sz w:val="24"/>
        </w:rPr>
        <w:t>四、财政拨款收入支出决算总表</w:t>
      </w:r>
      <w:r>
        <w:rPr>
          <w:rFonts w:hint="eastAsia"/>
          <w:sz w:val="24"/>
        </w:rPr>
        <w:tab/>
      </w:r>
      <w:r>
        <w:rPr>
          <w:rFonts w:hint="eastAsia"/>
          <w:sz w:val="24"/>
        </w:rPr>
        <w:fldChar w:fldCharType="begin"/>
      </w:r>
      <w:r>
        <w:rPr>
          <w:rFonts w:hint="eastAsia"/>
          <w:sz w:val="24"/>
        </w:rPr>
        <w:instrText xml:space="preserve"> PAGEREF _Toc22707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"_Toc8522" </w:instrText>
      </w:r>
      <w:r>
        <w:fldChar w:fldCharType="separate"/>
      </w:r>
      <w:r>
        <w:rPr>
          <w:rFonts w:hint="eastAsia"/>
          <w:sz w:val="24"/>
        </w:rPr>
        <w:t>五、财政拨款支出决算明细表</w:t>
      </w:r>
      <w:r>
        <w:rPr>
          <w:rFonts w:hint="eastAsia"/>
          <w:sz w:val="24"/>
        </w:rPr>
        <w:tab/>
      </w:r>
      <w:r>
        <w:rPr>
          <w:rFonts w:hint="eastAsia"/>
          <w:sz w:val="24"/>
        </w:rPr>
        <w:fldChar w:fldCharType="begin"/>
      </w:r>
      <w:r>
        <w:rPr>
          <w:rFonts w:hint="eastAsia"/>
          <w:sz w:val="24"/>
        </w:rPr>
        <w:instrText xml:space="preserve"> PAGEREF _Toc8522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"_Toc15231" </w:instrText>
      </w:r>
      <w:r>
        <w:fldChar w:fldCharType="separate"/>
      </w:r>
      <w:r>
        <w:rPr>
          <w:rFonts w:hint="eastAsia"/>
          <w:sz w:val="24"/>
        </w:rPr>
        <w:t>六、一般公共预算财政拨款支出决算表</w:t>
      </w:r>
      <w:r>
        <w:rPr>
          <w:rFonts w:hint="eastAsia"/>
          <w:sz w:val="24"/>
        </w:rPr>
        <w:tab/>
      </w:r>
      <w:r>
        <w:rPr>
          <w:rFonts w:hint="eastAsia"/>
          <w:sz w:val="24"/>
        </w:rPr>
        <w:fldChar w:fldCharType="begin"/>
      </w:r>
      <w:r>
        <w:rPr>
          <w:rFonts w:hint="eastAsia"/>
          <w:sz w:val="24"/>
        </w:rPr>
        <w:instrText xml:space="preserve"> PAGEREF _Toc15231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"_Toc25316" </w:instrText>
      </w:r>
      <w:r>
        <w:fldChar w:fldCharType="separate"/>
      </w:r>
      <w:r>
        <w:rPr>
          <w:rFonts w:hint="eastAsia"/>
          <w:sz w:val="24"/>
        </w:rPr>
        <w:t>七、一般公共预算财政拨款支出决算明细表</w:t>
      </w:r>
      <w:r>
        <w:rPr>
          <w:rFonts w:hint="eastAsia"/>
          <w:sz w:val="24"/>
        </w:rPr>
        <w:tab/>
      </w:r>
      <w:r>
        <w:rPr>
          <w:rFonts w:hint="eastAsia"/>
          <w:sz w:val="24"/>
        </w:rPr>
        <w:fldChar w:fldCharType="begin"/>
      </w:r>
      <w:r>
        <w:rPr>
          <w:rFonts w:hint="eastAsia"/>
          <w:sz w:val="24"/>
        </w:rPr>
        <w:instrText xml:space="preserve"> PAGEREF _Toc25316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"_Toc14152" </w:instrText>
      </w:r>
      <w:r>
        <w:fldChar w:fldCharType="separate"/>
      </w:r>
      <w:r>
        <w:rPr>
          <w:rFonts w:hint="eastAsia"/>
          <w:sz w:val="24"/>
        </w:rPr>
        <w:t>八、一般公共预算财政拨款基本支出决算表</w:t>
      </w:r>
      <w:r>
        <w:rPr>
          <w:rFonts w:hint="eastAsia"/>
          <w:sz w:val="24"/>
        </w:rPr>
        <w:tab/>
      </w:r>
      <w:r>
        <w:rPr>
          <w:rFonts w:hint="eastAsia"/>
          <w:sz w:val="24"/>
        </w:rPr>
        <w:fldChar w:fldCharType="begin"/>
      </w:r>
      <w:r>
        <w:rPr>
          <w:rFonts w:hint="eastAsia"/>
          <w:sz w:val="24"/>
        </w:rPr>
        <w:instrText xml:space="preserve"> PAGEREF _Toc14152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"_Toc22543" </w:instrText>
      </w:r>
      <w:r>
        <w:fldChar w:fldCharType="separate"/>
      </w:r>
      <w:r>
        <w:rPr>
          <w:rFonts w:hint="eastAsia"/>
          <w:sz w:val="24"/>
        </w:rPr>
        <w:t>九、一般公共预算财政拨款项目支出决算表</w:t>
      </w:r>
      <w:r>
        <w:rPr>
          <w:rFonts w:hint="eastAsia"/>
          <w:sz w:val="24"/>
        </w:rPr>
        <w:tab/>
      </w:r>
      <w:r>
        <w:rPr>
          <w:rFonts w:hint="eastAsia"/>
          <w:sz w:val="24"/>
        </w:rPr>
        <w:fldChar w:fldCharType="begin"/>
      </w:r>
      <w:r>
        <w:rPr>
          <w:rFonts w:hint="eastAsia"/>
          <w:sz w:val="24"/>
        </w:rPr>
        <w:instrText xml:space="preserve"> PAGEREF _Toc22543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"_Toc2837" </w:instrText>
      </w:r>
      <w:r>
        <w:fldChar w:fldCharType="separate"/>
      </w:r>
      <w:r>
        <w:rPr>
          <w:rFonts w:hint="eastAsia"/>
          <w:sz w:val="24"/>
        </w:rPr>
        <w:t>十、一般公共预算财政拨款“三公”经费支出决算表</w:t>
      </w:r>
      <w:r>
        <w:rPr>
          <w:rFonts w:hint="eastAsia"/>
          <w:sz w:val="24"/>
        </w:rPr>
        <w:tab/>
      </w:r>
      <w:r>
        <w:rPr>
          <w:rFonts w:hint="eastAsia"/>
          <w:sz w:val="24"/>
        </w:rPr>
        <w:fldChar w:fldCharType="begin"/>
      </w:r>
      <w:r>
        <w:rPr>
          <w:rFonts w:hint="eastAsia"/>
          <w:sz w:val="24"/>
        </w:rPr>
        <w:instrText xml:space="preserve"> PAGEREF _Toc2837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"_Toc9316" </w:instrText>
      </w:r>
      <w:r>
        <w:fldChar w:fldCharType="separate"/>
      </w:r>
      <w:r>
        <w:rPr>
          <w:rFonts w:hint="eastAsia"/>
          <w:sz w:val="24"/>
        </w:rPr>
        <w:t>十一、政府性基金预算财政拨款收入支出决算表</w:t>
      </w:r>
      <w:r>
        <w:rPr>
          <w:rFonts w:hint="eastAsia"/>
          <w:sz w:val="24"/>
        </w:rPr>
        <w:tab/>
      </w:r>
      <w:r>
        <w:rPr>
          <w:rFonts w:hint="eastAsia"/>
          <w:sz w:val="24"/>
        </w:rPr>
        <w:fldChar w:fldCharType="begin"/>
      </w:r>
      <w:r>
        <w:rPr>
          <w:rFonts w:hint="eastAsia"/>
          <w:sz w:val="24"/>
        </w:rPr>
        <w:instrText xml:space="preserve"> PAGEREF _Toc9316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"_Toc10752" </w:instrText>
      </w:r>
      <w:r>
        <w:fldChar w:fldCharType="separate"/>
      </w:r>
      <w:r>
        <w:rPr>
          <w:rFonts w:hint="eastAsia"/>
          <w:sz w:val="24"/>
        </w:rPr>
        <w:t>十二、政府性基金预算财政拨款“三公”经费支出决算表</w:t>
      </w:r>
      <w:r>
        <w:rPr>
          <w:rFonts w:hint="eastAsia"/>
          <w:sz w:val="24"/>
        </w:rPr>
        <w:tab/>
      </w:r>
      <w:r>
        <w:rPr>
          <w:rFonts w:hint="eastAsia"/>
          <w:sz w:val="24"/>
        </w:rPr>
        <w:fldChar w:fldCharType="begin"/>
      </w:r>
      <w:r>
        <w:rPr>
          <w:rFonts w:hint="eastAsia"/>
          <w:sz w:val="24"/>
        </w:rPr>
        <w:instrText xml:space="preserve"> PAGEREF _Toc10752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"_Toc10882" </w:instrText>
      </w:r>
      <w:r>
        <w:fldChar w:fldCharType="separate"/>
      </w:r>
      <w:r>
        <w:rPr>
          <w:rFonts w:hint="eastAsia"/>
          <w:sz w:val="24"/>
        </w:rPr>
        <w:t>十三、国有资本经营预算财政拨款收入支出决算表</w:t>
      </w:r>
      <w:r>
        <w:rPr>
          <w:rFonts w:hint="eastAsia"/>
          <w:sz w:val="24"/>
        </w:rPr>
        <w:tab/>
      </w:r>
      <w:r>
        <w:rPr>
          <w:rFonts w:hint="eastAsia"/>
          <w:sz w:val="24"/>
        </w:rPr>
        <w:fldChar w:fldCharType="begin"/>
      </w:r>
      <w:r>
        <w:rPr>
          <w:rFonts w:hint="eastAsia"/>
          <w:sz w:val="24"/>
        </w:rPr>
        <w:instrText xml:space="preserve"> PAGEREF _Toc10882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pPr>
      <w:r>
        <w:fldChar w:fldCharType="begin"/>
      </w:r>
      <w:r>
        <w:instrText xml:space="preserve"> HYPERLINK \l "_Toc9002" </w:instrText>
      </w:r>
      <w:r>
        <w:fldChar w:fldCharType="separate"/>
      </w:r>
      <w:r>
        <w:rPr>
          <w:rFonts w:hint="eastAsia"/>
          <w:sz w:val="24"/>
        </w:rPr>
        <w:t>十四、国有资本经营预算财政拨款支出决算表</w:t>
      </w:r>
      <w:r>
        <w:rPr>
          <w:rFonts w:hint="eastAsia"/>
          <w:sz w:val="24"/>
        </w:rPr>
        <w:tab/>
      </w:r>
      <w:r>
        <w:rPr>
          <w:rFonts w:hint="eastAsia"/>
          <w:sz w:val="24"/>
        </w:rPr>
        <w:fldChar w:fldCharType="begin"/>
      </w:r>
      <w:r>
        <w:rPr>
          <w:rFonts w:hint="eastAsia"/>
          <w:sz w:val="24"/>
        </w:rPr>
        <w:instrText xml:space="preserve"> PAGEREF _Toc9002 \h </w:instrText>
      </w:r>
      <w:r>
        <w:rPr>
          <w:rFonts w:hint="eastAsia"/>
          <w:sz w:val="24"/>
        </w:rPr>
        <w:fldChar w:fldCharType="separate"/>
      </w:r>
      <w:r>
        <w:rPr>
          <w:rFonts w:hint="eastAsia"/>
          <w:sz w:val="24"/>
        </w:rPr>
        <w:t>45</w:t>
      </w:r>
      <w:r>
        <w:rPr>
          <w:rFonts w:hint="eastAsia"/>
          <w:sz w:val="24"/>
        </w:rPr>
        <w:fldChar w:fldCharType="end"/>
      </w:r>
      <w:r>
        <w:rPr>
          <w:rFonts w:hint="eastAsia"/>
          <w:sz w:val="24"/>
        </w:rPr>
        <w:fldChar w:fldCharType="end"/>
      </w:r>
    </w:p>
    <w:p>
      <w:pPr>
        <w:pStyle w:val="11"/>
        <w:adjustRightInd w:val="0"/>
        <w:snapToGrid w:val="0"/>
        <w:spacing w:line="440" w:lineRule="exact"/>
        <w:jc w:val="left"/>
        <w:rPr>
          <w:sz w:val="24"/>
        </w:rPr>
        <w:sectPr>
          <w:footerReference r:id="rId6" w:type="first"/>
          <w:footerReference r:id="rId5" w:type="default"/>
          <w:pgSz w:w="11906" w:h="16838"/>
          <w:pgMar w:top="1440" w:right="1800" w:bottom="1440" w:left="1800" w:header="851" w:footer="992" w:gutter="0"/>
          <w:pgNumType w:start="1"/>
          <w:cols w:space="425" w:num="1"/>
          <w:docGrid w:type="lines" w:linePitch="312" w:charSpace="0"/>
        </w:sectPr>
      </w:pPr>
      <w:r>
        <w:rPr>
          <w:rFonts w:hint="eastAsia"/>
          <w:sz w:val="24"/>
        </w:rPr>
        <w:fldChar w:fldCharType="end"/>
      </w:r>
    </w:p>
    <w:p>
      <w:pPr>
        <w:pStyle w:val="3"/>
        <w:jc w:val="center"/>
        <w:rPr>
          <w:rStyle w:val="24"/>
          <w:rFonts w:ascii="黑体" w:hAnsi="黑体" w:eastAsia="黑体"/>
          <w:b/>
          <w:bCs w:val="0"/>
        </w:rPr>
      </w:pPr>
      <w:bookmarkStart w:id="16" w:name="_Toc11406"/>
      <w:r>
        <w:rPr>
          <w:rFonts w:hint="eastAsia" w:ascii="黑体" w:hAnsi="黑体" w:eastAsia="黑体"/>
          <w:b w:val="0"/>
        </w:rPr>
        <w:t xml:space="preserve">第一部分 </w:t>
      </w:r>
      <w:r>
        <w:rPr>
          <w:rStyle w:val="24"/>
          <w:rFonts w:hint="eastAsia" w:ascii="黑体" w:hAnsi="黑体" w:eastAsia="黑体"/>
          <w:b w:val="0"/>
          <w:bCs w:val="0"/>
        </w:rPr>
        <w:t>部门概况</w:t>
      </w:r>
      <w:bookmarkEnd w:id="14"/>
      <w:bookmarkEnd w:id="15"/>
      <w:bookmarkEnd w:id="16"/>
    </w:p>
    <w:p>
      <w:pPr>
        <w:widowControl/>
        <w:jc w:val="left"/>
        <w:rPr>
          <w:rFonts w:ascii="黑体" w:eastAsia="黑体"/>
          <w:sz w:val="32"/>
          <w:szCs w:val="32"/>
        </w:rPr>
      </w:pPr>
    </w:p>
    <w:p>
      <w:pPr>
        <w:pStyle w:val="4"/>
        <w:rPr>
          <w:rStyle w:val="25"/>
          <w:rFonts w:ascii="仿宋" w:hAnsi="仿宋" w:eastAsia="仿宋"/>
          <w:b w:val="0"/>
          <w:bCs w:val="0"/>
        </w:rPr>
      </w:pPr>
      <w:bookmarkStart w:id="17" w:name="_Toc15396600"/>
      <w:bookmarkStart w:id="18" w:name="_Toc2379"/>
      <w:bookmarkStart w:id="19" w:name="_Toc15377197"/>
      <w:r>
        <w:rPr>
          <w:rFonts w:hint="eastAsia" w:ascii="黑体" w:hAnsi="黑体" w:eastAsia="黑体"/>
          <w:b w:val="0"/>
        </w:rPr>
        <w:t>一、基</w:t>
      </w:r>
      <w:r>
        <w:rPr>
          <w:rStyle w:val="25"/>
          <w:rFonts w:hint="eastAsia" w:ascii="黑体" w:hAnsi="黑体" w:eastAsia="黑体"/>
          <w:b w:val="0"/>
          <w:bCs w:val="0"/>
        </w:rPr>
        <w:t>本职能及主要工作</w:t>
      </w:r>
      <w:bookmarkEnd w:id="17"/>
      <w:bookmarkEnd w:id="18"/>
      <w:bookmarkEnd w:id="19"/>
    </w:p>
    <w:p>
      <w:pPr>
        <w:pStyle w:val="2"/>
        <w:adjustRightInd w:val="0"/>
        <w:snapToGrid w:val="0"/>
        <w:spacing w:before="93" w:line="600" w:lineRule="exact"/>
        <w:ind w:firstLine="672" w:firstLineChars="210"/>
        <w:outlineLvl w:val="2"/>
        <w:rPr>
          <w:rFonts w:ascii="仿宋" w:hAnsi="仿宋" w:eastAsia="仿宋"/>
          <w:bCs/>
          <w:sz w:val="32"/>
          <w:szCs w:val="32"/>
        </w:rPr>
      </w:pPr>
      <w:bookmarkStart w:id="20" w:name="_Toc15377198"/>
      <w:bookmarkStart w:id="21" w:name="_Toc15378445"/>
      <w:r>
        <w:rPr>
          <w:rFonts w:hint="eastAsia" w:ascii="仿宋" w:hAnsi="仿宋" w:eastAsia="仿宋"/>
          <w:bCs/>
          <w:sz w:val="32"/>
          <w:szCs w:val="32"/>
        </w:rPr>
        <w:t>（一）主要职能。</w:t>
      </w:r>
      <w:bookmarkEnd w:id="20"/>
      <w:bookmarkEnd w:id="21"/>
      <w:bookmarkStart w:id="22" w:name="_Toc15377199"/>
      <w:bookmarkStart w:id="23" w:name="_Toc15378446"/>
    </w:p>
    <w:p>
      <w:pPr>
        <w:pStyle w:val="2"/>
        <w:adjustRightInd w:val="0"/>
        <w:snapToGrid w:val="0"/>
        <w:spacing w:before="93" w:line="600" w:lineRule="exact"/>
        <w:ind w:firstLine="672" w:firstLineChars="210"/>
        <w:outlineLvl w:val="2"/>
        <w:rPr>
          <w:rFonts w:hAnsi="仿宋"/>
          <w:sz w:val="32"/>
          <w:szCs w:val="32"/>
        </w:rPr>
      </w:pPr>
      <w:r>
        <w:rPr>
          <w:rFonts w:hint="eastAsia" w:hAnsi="仿宋"/>
          <w:sz w:val="32"/>
          <w:szCs w:val="32"/>
        </w:rPr>
        <w:t>中共四川省委省直机关党校主要职能是按照省委要求，完成对省级机关各单位处级领导干部和中青年干部的轮培训任务，以及其他各类干部培训工作；研究宣传中国特色社会主义理论，承担重点课题研究；举办各类成人学历教育和研究生培养。</w:t>
      </w:r>
    </w:p>
    <w:p>
      <w:pPr>
        <w:pStyle w:val="2"/>
        <w:adjustRightInd w:val="0"/>
        <w:snapToGrid w:val="0"/>
        <w:spacing w:before="93" w:line="600" w:lineRule="exact"/>
        <w:ind w:firstLine="672" w:firstLineChars="210"/>
        <w:outlineLvl w:val="2"/>
        <w:rPr>
          <w:rFonts w:ascii="仿宋" w:hAnsi="仿宋" w:eastAsia="仿宋"/>
          <w:bCs/>
          <w:sz w:val="32"/>
          <w:szCs w:val="32"/>
        </w:rPr>
      </w:pPr>
      <w:r>
        <w:rPr>
          <w:rFonts w:hint="eastAsia" w:ascii="仿宋" w:hAnsi="仿宋" w:eastAsia="仿宋"/>
          <w:bCs/>
          <w:sz w:val="32"/>
          <w:szCs w:val="32"/>
        </w:rPr>
        <w:t>（二）</w:t>
      </w:r>
      <w:r>
        <w:rPr>
          <w:rFonts w:ascii="仿宋" w:hAnsi="仿宋" w:eastAsia="仿宋"/>
          <w:bCs/>
          <w:sz w:val="32"/>
          <w:szCs w:val="32"/>
        </w:rPr>
        <w:t>20</w:t>
      </w:r>
      <w:r>
        <w:rPr>
          <w:rFonts w:hint="eastAsia" w:ascii="仿宋" w:hAnsi="仿宋" w:eastAsia="仿宋"/>
          <w:bCs/>
          <w:sz w:val="32"/>
          <w:szCs w:val="32"/>
        </w:rPr>
        <w:t>20年重点工作完成情况。</w:t>
      </w:r>
      <w:bookmarkEnd w:id="22"/>
      <w:bookmarkEnd w:id="23"/>
      <w:bookmarkStart w:id="24" w:name="_Toc15377200"/>
      <w:bookmarkStart w:id="25" w:name="_Toc15396601"/>
    </w:p>
    <w:p>
      <w:pPr>
        <w:ind w:firstLine="640" w:firstLineChars="200"/>
      </w:pPr>
      <w:r>
        <w:rPr>
          <w:rFonts w:hint="eastAsia" w:ascii="仿宋_GB2312" w:hAnsi="仿宋" w:eastAsia="仿宋_GB2312"/>
          <w:sz w:val="32"/>
          <w:szCs w:val="32"/>
        </w:rPr>
        <w:t>2020年，在省委和省直机关工委的坚强领导下，我校深入学习贯彻习近平新时代中国特色社会主义思想，认真贯彻党的十九届四中、五中全会和省委十一届六次、七次、八次全会精神，坚持“党校姓党、从严治校、依规治校、质量兴校”办学方针，以“一区四车”（新校区，教学、科研、咨询和管理四驾马车）为重点任务，以“校园落新户、教学亮特色、科研出成果、外培多办班、管理上水平、党建强引领”目标为着力点，坚持疫情防控和党校事业发展两手抓，重点领域和关键环节创新改革持续推进，完成教研部职能和教师队伍配置改革；积极应对新冠疫情造成的变化，办学培训创历史新高，培训党员干部11738人；科研重大攻关有新的突破，《机关干部新时代治蜀兴川能力素养专题研究》编印出版；决策咨询报告签批数量提升，9篇获得省委、省政府领导签批，获批率达56.25%；新校区迁建项目获省委省政府领导支持，进入实质性立项阶段，各项工作取得新的进展和成效。</w:t>
      </w:r>
    </w:p>
    <w:p>
      <w:pPr>
        <w:pStyle w:val="2"/>
        <w:adjustRightInd w:val="0"/>
        <w:snapToGrid w:val="0"/>
        <w:spacing w:before="93" w:line="600" w:lineRule="exact"/>
        <w:ind w:firstLine="600" w:firstLineChars="200"/>
        <w:outlineLvl w:val="1"/>
        <w:rPr>
          <w:rStyle w:val="25"/>
          <w:b w:val="0"/>
          <w:bCs w:val="0"/>
        </w:rPr>
      </w:pPr>
      <w:bookmarkStart w:id="26" w:name="_Toc2388"/>
      <w:r>
        <w:rPr>
          <w:rFonts w:hint="eastAsia" w:ascii="黑体" w:eastAsia="黑体"/>
        </w:rPr>
        <w:t>二、</w:t>
      </w:r>
      <w:r>
        <w:rPr>
          <w:rFonts w:hint="eastAsia" w:ascii="黑体" w:hAnsi="黑体" w:eastAsia="黑体"/>
        </w:rPr>
        <w:t>机</w:t>
      </w:r>
      <w:r>
        <w:rPr>
          <w:rStyle w:val="25"/>
          <w:rFonts w:hint="eastAsia" w:ascii="黑体" w:hAnsi="黑体" w:eastAsia="黑体"/>
          <w:b w:val="0"/>
          <w:bCs w:val="0"/>
        </w:rPr>
        <w:t>构设置</w:t>
      </w:r>
      <w:bookmarkEnd w:id="24"/>
      <w:bookmarkEnd w:id="25"/>
      <w:bookmarkEnd w:id="26"/>
    </w:p>
    <w:p>
      <w:pPr>
        <w:snapToGrid w:val="0"/>
        <w:spacing w:line="580" w:lineRule="exact"/>
        <w:ind w:firstLine="640" w:firstLineChars="200"/>
        <w:rPr>
          <w:rFonts w:ascii="仿宋" w:hAnsi="仿宋" w:eastAsia="仿宋"/>
          <w:kern w:val="0"/>
          <w:sz w:val="32"/>
          <w:szCs w:val="32"/>
        </w:rPr>
      </w:pPr>
      <w:r>
        <w:rPr>
          <w:rFonts w:hint="eastAsia" w:ascii="仿宋" w:hAnsi="仿宋" w:eastAsia="仿宋"/>
          <w:sz w:val="32"/>
          <w:szCs w:val="32"/>
        </w:rPr>
        <w:t>我校是参照国家公务员管理的特殊事业单位，由参照公务员管理的行政人员、职员、专业技术人员、工勤人员四部分组成，无下属单位。</w:t>
      </w:r>
      <w:r>
        <w:rPr>
          <w:rFonts w:ascii="仿宋" w:hAnsi="仿宋" w:eastAsia="仿宋"/>
          <w:sz w:val="32"/>
          <w:szCs w:val="32"/>
        </w:rPr>
        <w:br w:type="page"/>
      </w:r>
    </w:p>
    <w:p>
      <w:pPr>
        <w:pStyle w:val="3"/>
        <w:ind w:right="440"/>
        <w:jc w:val="center"/>
        <w:rPr>
          <w:rStyle w:val="24"/>
          <w:rFonts w:ascii="黑体" w:hAnsi="黑体" w:eastAsia="黑体"/>
          <w:b w:val="0"/>
          <w:bCs/>
        </w:rPr>
      </w:pPr>
      <w:bookmarkStart w:id="27" w:name="_Toc15396602"/>
      <w:bookmarkStart w:id="28" w:name="_Toc9325"/>
      <w:bookmarkStart w:id="29" w:name="_Toc15377204"/>
      <w:r>
        <w:rPr>
          <w:rFonts w:hint="eastAsia" w:ascii="黑体" w:hAnsi="黑体" w:eastAsia="黑体"/>
          <w:b w:val="0"/>
        </w:rPr>
        <w:t>第二部分 2020年度</w:t>
      </w:r>
      <w:r>
        <w:rPr>
          <w:rStyle w:val="24"/>
          <w:rFonts w:hint="eastAsia" w:ascii="黑体" w:hAnsi="黑体" w:eastAsia="黑体"/>
          <w:b w:val="0"/>
          <w:bCs/>
        </w:rPr>
        <w:t>部门决算情况说明</w:t>
      </w:r>
      <w:bookmarkEnd w:id="27"/>
      <w:bookmarkEnd w:id="28"/>
      <w:bookmarkEnd w:id="29"/>
    </w:p>
    <w:p/>
    <w:p>
      <w:pPr>
        <w:pStyle w:val="23"/>
        <w:spacing w:line="600" w:lineRule="exact"/>
        <w:ind w:left="640" w:firstLine="0" w:firstLineChars="0"/>
        <w:outlineLvl w:val="1"/>
        <w:rPr>
          <w:rStyle w:val="25"/>
          <w:rFonts w:ascii="黑体" w:hAnsi="黑体" w:eastAsia="黑体"/>
          <w:b w:val="0"/>
        </w:rPr>
      </w:pPr>
      <w:bookmarkStart w:id="30" w:name="_Toc15396603"/>
      <w:bookmarkStart w:id="31" w:name="_Toc15377205"/>
      <w:bookmarkStart w:id="32" w:name="_Toc10165"/>
      <w:r>
        <w:rPr>
          <w:rFonts w:hint="eastAsia" w:ascii="黑体" w:hAnsi="黑体" w:eastAsia="黑体"/>
          <w:sz w:val="32"/>
          <w:szCs w:val="32"/>
        </w:rPr>
        <w:t>一、收</w:t>
      </w:r>
      <w:r>
        <w:rPr>
          <w:rStyle w:val="25"/>
          <w:rFonts w:hint="eastAsia" w:ascii="黑体" w:hAnsi="黑体" w:eastAsia="黑体"/>
          <w:b w:val="0"/>
        </w:rPr>
        <w:t>入支出决算总体情况说明</w:t>
      </w:r>
      <w:bookmarkEnd w:id="30"/>
      <w:bookmarkEnd w:id="31"/>
      <w:bookmarkEnd w:id="32"/>
    </w:p>
    <w:p>
      <w:pPr>
        <w:spacing w:line="600" w:lineRule="exact"/>
        <w:ind w:firstLine="640" w:firstLineChars="200"/>
        <w:rPr>
          <w:rFonts w:ascii="仿宋" w:hAnsi="仿宋" w:eastAsia="仿宋_GB2312"/>
          <w:sz w:val="32"/>
          <w:szCs w:val="32"/>
        </w:rPr>
      </w:pPr>
      <w:r>
        <w:rPr>
          <w:rFonts w:hint="eastAsia" w:ascii="仿宋" w:hAnsi="仿宋" w:eastAsia="仿宋"/>
          <w:sz w:val="32"/>
          <w:szCs w:val="32"/>
        </w:rPr>
        <w:t>2020年度收、支总计</w:t>
      </w:r>
      <w:r>
        <w:rPr>
          <w:rFonts w:hint="eastAsia" w:ascii="仿宋_GB2312" w:hAnsi="仿宋" w:eastAsia="仿宋_GB2312"/>
          <w:color w:val="000000" w:themeColor="text1"/>
          <w:sz w:val="32"/>
          <w:szCs w:val="32"/>
          <w14:textFill>
            <w14:solidFill>
              <w14:schemeClr w14:val="tx1"/>
            </w14:solidFill>
          </w14:textFill>
        </w:rPr>
        <w:t>5,663.28</w:t>
      </w:r>
      <w:r>
        <w:rPr>
          <w:rFonts w:hint="eastAsia" w:ascii="仿宋" w:hAnsi="仿宋" w:eastAsia="仿宋"/>
          <w:sz w:val="32"/>
          <w:szCs w:val="32"/>
        </w:rPr>
        <w:t>万元。与2019年相比，收、支总计增加264.50</w:t>
      </w:r>
      <w:r>
        <w:rPr>
          <w:rFonts w:hint="eastAsia" w:ascii="仿宋" w:hAnsi="仿宋" w:eastAsia="仿宋"/>
          <w:sz w:val="32"/>
          <w:szCs w:val="32"/>
        </w:rPr>
        <w:tab/>
      </w:r>
      <w:r>
        <w:rPr>
          <w:rFonts w:hint="eastAsia" w:ascii="仿宋" w:hAnsi="仿宋" w:eastAsia="仿宋"/>
          <w:sz w:val="32"/>
          <w:szCs w:val="32"/>
        </w:rPr>
        <w:t>万元，增长4.9</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color w:val="000000" w:themeColor="text1"/>
          <w:sz w:val="32"/>
          <w:szCs w:val="32"/>
          <w14:textFill>
            <w14:solidFill>
              <w14:schemeClr w14:val="tx1"/>
            </w14:solidFill>
          </w14:textFill>
        </w:rPr>
        <w:t>对外办学其他收入增加；</w:t>
      </w:r>
      <w:r>
        <w:rPr>
          <w:rFonts w:hint="eastAsia" w:ascii="仿宋_GB2312" w:hAnsi="仿宋" w:eastAsia="仿宋_GB2312"/>
          <w:sz w:val="32"/>
          <w:szCs w:val="32"/>
        </w:rPr>
        <w:t>新增四川省省直机关办公用房维修项目</w:t>
      </w:r>
      <w:r>
        <w:rPr>
          <w:rFonts w:hint="eastAsia" w:ascii="仿宋_GB2312" w:hAnsi="仿宋" w:eastAsia="仿宋_GB2312"/>
          <w:color w:val="000000" w:themeColor="text1"/>
          <w:sz w:val="32"/>
          <w:szCs w:val="32"/>
          <w14:textFill>
            <w14:solidFill>
              <w14:schemeClr w14:val="tx1"/>
            </w14:solidFill>
          </w14:textFill>
        </w:rPr>
        <w:t>。</w:t>
      </w:r>
    </w:p>
    <w:p>
      <w:pPr>
        <w:pStyle w:val="2"/>
        <w:spacing w:before="93"/>
      </w:pPr>
      <w:r>
        <w:drawing>
          <wp:inline distT="0" distB="0" distL="114300" distR="114300">
            <wp:extent cx="5272405" cy="2368550"/>
            <wp:effectExtent l="4445" t="4445" r="11430" b="1968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firstLineChars="200"/>
        <w:jc w:val="left"/>
        <w:rPr>
          <w:rFonts w:ascii="仿宋_GB2312" w:eastAsia="仿宋_GB2312"/>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3"/>
        <w:spacing w:line="600" w:lineRule="exact"/>
        <w:ind w:left="640" w:firstLine="0" w:firstLineChars="0"/>
        <w:outlineLvl w:val="1"/>
        <w:rPr>
          <w:rFonts w:ascii="仿宋" w:hAnsi="仿宋" w:eastAsia="仿宋"/>
          <w:sz w:val="32"/>
          <w:szCs w:val="32"/>
        </w:rPr>
      </w:pPr>
      <w:bookmarkStart w:id="33" w:name="_Toc15377206"/>
      <w:bookmarkStart w:id="34" w:name="_Toc15396604"/>
      <w:bookmarkStart w:id="35" w:name="_Toc28047"/>
      <w:r>
        <w:rPr>
          <w:rFonts w:hint="eastAsia" w:ascii="黑体" w:hAnsi="黑体" w:eastAsia="黑体"/>
          <w:sz w:val="32"/>
          <w:szCs w:val="32"/>
        </w:rPr>
        <w:t>二、收</w:t>
      </w:r>
      <w:r>
        <w:rPr>
          <w:rStyle w:val="25"/>
          <w:rFonts w:hint="eastAsia" w:ascii="黑体" w:hAnsi="黑体" w:eastAsia="黑体"/>
          <w:b w:val="0"/>
        </w:rPr>
        <w:t>入决算情况说明</w:t>
      </w:r>
      <w:bookmarkEnd w:id="33"/>
      <w:bookmarkEnd w:id="34"/>
      <w:bookmarkEnd w:id="35"/>
    </w:p>
    <w:p>
      <w:pPr>
        <w:spacing w:line="600" w:lineRule="exact"/>
        <w:ind w:firstLine="640" w:firstLineChars="200"/>
        <w:outlineLvl w:val="1"/>
        <w:rPr>
          <w:rFonts w:ascii="仿宋" w:hAnsi="仿宋" w:eastAsia="仿宋"/>
          <w:sz w:val="32"/>
          <w:szCs w:val="32"/>
        </w:rPr>
      </w:pPr>
      <w:bookmarkStart w:id="36" w:name="_Toc1179"/>
      <w:bookmarkStart w:id="37" w:name="_Toc25626"/>
      <w:r>
        <w:rPr>
          <w:rFonts w:ascii="仿宋" w:hAnsi="仿宋" w:eastAsia="仿宋"/>
          <w:sz w:val="32"/>
          <w:szCs w:val="32"/>
        </w:rPr>
        <w:t>20</w:t>
      </w:r>
      <w:r>
        <w:rPr>
          <w:rFonts w:hint="eastAsia" w:ascii="仿宋" w:hAnsi="仿宋" w:eastAsia="仿宋"/>
          <w:sz w:val="32"/>
          <w:szCs w:val="32"/>
        </w:rPr>
        <w:t>20年本年收入合计4796.16万元，其中：一般公共预算财政拨款收入3,564.73万元，占74.32</w:t>
      </w:r>
      <w:r>
        <w:rPr>
          <w:rFonts w:ascii="仿宋" w:hAnsi="仿宋" w:eastAsia="仿宋"/>
          <w:sz w:val="32"/>
          <w:szCs w:val="32"/>
        </w:rPr>
        <w:t>%</w:t>
      </w:r>
      <w:r>
        <w:rPr>
          <w:rFonts w:hint="eastAsia" w:ascii="仿宋" w:hAnsi="仿宋" w:eastAsia="仿宋"/>
          <w:sz w:val="32"/>
          <w:szCs w:val="32"/>
        </w:rPr>
        <w:t>；政府性基金预算财政拨款收入0万元，占0</w:t>
      </w:r>
      <w:r>
        <w:rPr>
          <w:rFonts w:ascii="仿宋" w:hAnsi="仿宋" w:eastAsia="仿宋"/>
          <w:sz w:val="32"/>
          <w:szCs w:val="32"/>
        </w:rPr>
        <w:t>%</w:t>
      </w:r>
      <w:r>
        <w:rPr>
          <w:rFonts w:hint="eastAsia" w:ascii="仿宋" w:hAnsi="仿宋" w:eastAsia="仿宋"/>
          <w:sz w:val="32"/>
          <w:szCs w:val="32"/>
        </w:rPr>
        <w:t>；上级补助收入0万元，占0</w:t>
      </w:r>
      <w:r>
        <w:rPr>
          <w:rFonts w:ascii="仿宋" w:hAnsi="仿宋" w:eastAsia="仿宋"/>
          <w:sz w:val="32"/>
          <w:szCs w:val="32"/>
        </w:rPr>
        <w:t>%</w:t>
      </w:r>
      <w:r>
        <w:rPr>
          <w:rFonts w:hint="eastAsia" w:ascii="仿宋" w:hAnsi="仿宋" w:eastAsia="仿宋"/>
          <w:sz w:val="32"/>
          <w:szCs w:val="32"/>
        </w:rPr>
        <w:t>；事业收入416.3万元，占8.68</w:t>
      </w:r>
      <w:r>
        <w:rPr>
          <w:rFonts w:ascii="仿宋" w:hAnsi="仿宋" w:eastAsia="仿宋"/>
          <w:sz w:val="32"/>
          <w:szCs w:val="32"/>
        </w:rPr>
        <w:t>%</w:t>
      </w:r>
      <w:r>
        <w:rPr>
          <w:rFonts w:hint="eastAsia" w:ascii="仿宋" w:hAnsi="仿宋" w:eastAsia="仿宋"/>
          <w:sz w:val="32"/>
          <w:szCs w:val="32"/>
        </w:rPr>
        <w:t>；经营收入0万元，占0</w:t>
      </w:r>
      <w:r>
        <w:rPr>
          <w:rFonts w:ascii="仿宋" w:hAnsi="仿宋" w:eastAsia="仿宋"/>
          <w:sz w:val="32"/>
          <w:szCs w:val="32"/>
        </w:rPr>
        <w:t>%</w:t>
      </w:r>
      <w:r>
        <w:rPr>
          <w:rFonts w:hint="eastAsia" w:ascii="仿宋" w:hAnsi="仿宋" w:eastAsia="仿宋"/>
          <w:sz w:val="32"/>
          <w:szCs w:val="32"/>
        </w:rPr>
        <w:t>；附属单位上缴收入0万元，占0</w:t>
      </w:r>
      <w:r>
        <w:rPr>
          <w:rFonts w:ascii="仿宋" w:hAnsi="仿宋" w:eastAsia="仿宋"/>
          <w:sz w:val="32"/>
          <w:szCs w:val="32"/>
        </w:rPr>
        <w:t>%</w:t>
      </w:r>
      <w:r>
        <w:rPr>
          <w:rFonts w:hint="eastAsia" w:ascii="仿宋" w:hAnsi="仿宋" w:eastAsia="仿宋"/>
          <w:sz w:val="32"/>
          <w:szCs w:val="32"/>
        </w:rPr>
        <w:t>；其他收入815.13万元，占17</w:t>
      </w:r>
      <w:r>
        <w:rPr>
          <w:rFonts w:ascii="仿宋" w:hAnsi="仿宋" w:eastAsia="仿宋"/>
          <w:sz w:val="32"/>
          <w:szCs w:val="32"/>
        </w:rPr>
        <w:t>%</w:t>
      </w:r>
      <w:r>
        <w:rPr>
          <w:rFonts w:hint="eastAsia" w:ascii="仿宋" w:hAnsi="仿宋" w:eastAsia="仿宋"/>
          <w:sz w:val="32"/>
          <w:szCs w:val="32"/>
        </w:rPr>
        <w:t>。</w:t>
      </w:r>
      <w:bookmarkEnd w:id="36"/>
      <w:bookmarkEnd w:id="37"/>
    </w:p>
    <w:p>
      <w:pPr>
        <w:pStyle w:val="2"/>
        <w:spacing w:before="93"/>
      </w:pPr>
      <w:r>
        <w:drawing>
          <wp:inline distT="0" distB="0" distL="114300" distR="114300">
            <wp:extent cx="5124450" cy="2914650"/>
            <wp:effectExtent l="4445" t="4445" r="6985" b="698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jc w:val="center"/>
        <w:rPr>
          <w:rFonts w:ascii="仿宋_GB2312" w:eastAsia="仿宋_GB2312"/>
          <w:sz w:val="32"/>
          <w:szCs w:val="32"/>
        </w:rPr>
      </w:pPr>
      <w:r>
        <w:rPr>
          <w:rFonts w:hint="eastAsia" w:ascii="仿宋" w:hAnsi="仿宋" w:eastAsia="仿宋"/>
          <w:sz w:val="32"/>
          <w:szCs w:val="32"/>
        </w:rPr>
        <w:t>（图2：收入决算结构图）（饼状图）</w:t>
      </w:r>
    </w:p>
    <w:p>
      <w:pPr>
        <w:pStyle w:val="23"/>
        <w:spacing w:line="600" w:lineRule="exact"/>
        <w:ind w:left="640" w:firstLine="0" w:firstLineChars="0"/>
        <w:outlineLvl w:val="1"/>
        <w:rPr>
          <w:rStyle w:val="25"/>
          <w:rFonts w:ascii="黑体" w:hAnsi="黑体" w:eastAsia="黑体"/>
          <w:b w:val="0"/>
        </w:rPr>
      </w:pPr>
      <w:bookmarkStart w:id="38" w:name="_Toc15396605"/>
      <w:bookmarkStart w:id="39" w:name="_Toc15377207"/>
      <w:bookmarkStart w:id="40" w:name="_Toc10334"/>
      <w:r>
        <w:rPr>
          <w:rFonts w:hint="eastAsia" w:ascii="黑体" w:hAnsi="黑体" w:eastAsia="黑体"/>
          <w:sz w:val="32"/>
          <w:szCs w:val="32"/>
        </w:rPr>
        <w:t>三、支</w:t>
      </w:r>
      <w:r>
        <w:rPr>
          <w:rStyle w:val="25"/>
          <w:rFonts w:hint="eastAsia" w:ascii="黑体" w:hAnsi="黑体" w:eastAsia="黑体"/>
          <w:b w:val="0"/>
        </w:rPr>
        <w:t>出决算情况说明</w:t>
      </w:r>
      <w:bookmarkEnd w:id="38"/>
      <w:bookmarkEnd w:id="39"/>
      <w:bookmarkEnd w:id="40"/>
    </w:p>
    <w:p>
      <w:pPr>
        <w:spacing w:line="600" w:lineRule="exact"/>
        <w:ind w:firstLine="640" w:firstLineChars="200"/>
        <w:outlineLvl w:val="1"/>
        <w:rPr>
          <w:rFonts w:ascii="仿宋" w:hAnsi="仿宋" w:eastAsia="仿宋"/>
          <w:b/>
          <w:sz w:val="32"/>
          <w:szCs w:val="32"/>
        </w:rPr>
      </w:pPr>
      <w:bookmarkStart w:id="41" w:name="_Toc9272"/>
      <w:bookmarkStart w:id="42" w:name="_Toc28941"/>
      <w:r>
        <w:rPr>
          <w:rFonts w:ascii="仿宋" w:hAnsi="仿宋" w:eastAsia="仿宋"/>
          <w:sz w:val="32"/>
          <w:szCs w:val="32"/>
        </w:rPr>
        <w:t>20</w:t>
      </w:r>
      <w:r>
        <w:rPr>
          <w:rFonts w:hint="eastAsia" w:ascii="仿宋" w:hAnsi="仿宋" w:eastAsia="仿宋"/>
          <w:sz w:val="32"/>
          <w:szCs w:val="32"/>
        </w:rPr>
        <w:t>20年本年支出合计4,633.69万元，其中：基本支出3,044.74万元，占65.71</w:t>
      </w:r>
      <w:r>
        <w:rPr>
          <w:rFonts w:ascii="仿宋" w:hAnsi="仿宋" w:eastAsia="仿宋"/>
          <w:sz w:val="32"/>
          <w:szCs w:val="32"/>
        </w:rPr>
        <w:t>%</w:t>
      </w:r>
      <w:r>
        <w:rPr>
          <w:rFonts w:hint="eastAsia" w:ascii="仿宋" w:hAnsi="仿宋" w:eastAsia="仿宋"/>
          <w:sz w:val="32"/>
          <w:szCs w:val="32"/>
        </w:rPr>
        <w:t>；项目支出1,588.95万元，占34.29</w:t>
      </w:r>
      <w:r>
        <w:rPr>
          <w:rFonts w:ascii="仿宋" w:hAnsi="仿宋" w:eastAsia="仿宋"/>
          <w:sz w:val="32"/>
          <w:szCs w:val="32"/>
        </w:rPr>
        <w:t>%</w:t>
      </w:r>
      <w:r>
        <w:rPr>
          <w:rFonts w:hint="eastAsia" w:ascii="仿宋" w:hAnsi="仿宋" w:eastAsia="仿宋"/>
          <w:sz w:val="32"/>
          <w:szCs w:val="32"/>
        </w:rPr>
        <w:t>；上缴上级支出0万元，占0</w:t>
      </w:r>
      <w:r>
        <w:rPr>
          <w:rFonts w:ascii="仿宋" w:hAnsi="仿宋" w:eastAsia="仿宋"/>
          <w:sz w:val="32"/>
          <w:szCs w:val="32"/>
        </w:rPr>
        <w:t>%</w:t>
      </w:r>
      <w:r>
        <w:rPr>
          <w:rFonts w:hint="eastAsia" w:ascii="仿宋" w:hAnsi="仿宋" w:eastAsia="仿宋"/>
          <w:sz w:val="32"/>
          <w:szCs w:val="32"/>
        </w:rPr>
        <w:t>；经营支出0万元，占0</w:t>
      </w:r>
      <w:r>
        <w:rPr>
          <w:rFonts w:ascii="仿宋" w:hAnsi="仿宋" w:eastAsia="仿宋"/>
          <w:sz w:val="32"/>
          <w:szCs w:val="32"/>
        </w:rPr>
        <w:t>%</w:t>
      </w:r>
      <w:r>
        <w:rPr>
          <w:rFonts w:hint="eastAsia" w:ascii="仿宋" w:hAnsi="仿宋" w:eastAsia="仿宋"/>
          <w:sz w:val="32"/>
          <w:szCs w:val="32"/>
        </w:rPr>
        <w:t>；对附属单位补助支出0万元，占0</w:t>
      </w:r>
      <w:r>
        <w:rPr>
          <w:rFonts w:ascii="仿宋" w:hAnsi="仿宋" w:eastAsia="仿宋"/>
          <w:sz w:val="32"/>
          <w:szCs w:val="32"/>
        </w:rPr>
        <w:t>%</w:t>
      </w:r>
      <w:r>
        <w:rPr>
          <w:rFonts w:hint="eastAsia" w:ascii="仿宋" w:hAnsi="仿宋" w:eastAsia="仿宋"/>
          <w:sz w:val="32"/>
          <w:szCs w:val="32"/>
        </w:rPr>
        <w:t>。</w:t>
      </w:r>
      <w:bookmarkEnd w:id="41"/>
      <w:bookmarkEnd w:id="42"/>
    </w:p>
    <w:p>
      <w:pPr>
        <w:jc w:val="center"/>
      </w:pPr>
      <w:r>
        <w:drawing>
          <wp:inline distT="0" distB="0" distL="114300" distR="114300">
            <wp:extent cx="5269230" cy="3155950"/>
            <wp:effectExtent l="4445" t="4445" r="14605" b="952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jc w:val="center"/>
        <w:rPr>
          <w:rFonts w:ascii="仿宋_GB2312" w:eastAsia="仿宋_GB2312"/>
          <w:sz w:val="32"/>
          <w:szCs w:val="32"/>
        </w:rPr>
      </w:pPr>
      <w:r>
        <w:rPr>
          <w:rFonts w:hint="eastAsia" w:ascii="仿宋" w:hAnsi="仿宋" w:eastAsia="仿宋"/>
          <w:sz w:val="32"/>
          <w:szCs w:val="32"/>
        </w:rPr>
        <w:t>（图3：支出决算结构图）（饼状图）</w:t>
      </w:r>
    </w:p>
    <w:p>
      <w:pPr>
        <w:spacing w:line="600" w:lineRule="exact"/>
        <w:ind w:firstLine="640" w:firstLineChars="200"/>
        <w:outlineLvl w:val="1"/>
        <w:rPr>
          <w:rStyle w:val="25"/>
          <w:rFonts w:ascii="黑体" w:hAnsi="黑体" w:eastAsia="黑体"/>
          <w:b w:val="0"/>
        </w:rPr>
      </w:pPr>
      <w:bookmarkStart w:id="43" w:name="_Toc17403"/>
      <w:bookmarkStart w:id="44" w:name="_Toc15377208"/>
      <w:bookmarkStart w:id="45" w:name="_Toc15396606"/>
      <w:r>
        <w:rPr>
          <w:rFonts w:hint="eastAsia" w:ascii="黑体" w:hAnsi="黑体" w:eastAsia="黑体"/>
          <w:sz w:val="32"/>
          <w:szCs w:val="32"/>
        </w:rPr>
        <w:t>四、财</w:t>
      </w:r>
      <w:r>
        <w:rPr>
          <w:rStyle w:val="25"/>
          <w:rFonts w:hint="eastAsia" w:ascii="黑体" w:hAnsi="黑体" w:eastAsia="黑体"/>
          <w:b w:val="0"/>
        </w:rPr>
        <w:t>政拨款收入支出决算总体情况说明</w:t>
      </w:r>
      <w:bookmarkEnd w:id="43"/>
      <w:bookmarkEnd w:id="44"/>
      <w:bookmarkEnd w:id="45"/>
    </w:p>
    <w:p>
      <w:pPr>
        <w:spacing w:line="600" w:lineRule="exact"/>
        <w:ind w:firstLine="640"/>
        <w:outlineLvl w:val="1"/>
        <w:rPr>
          <w:rFonts w:ascii="仿宋" w:hAnsi="仿宋" w:eastAsia="仿宋"/>
          <w:b/>
          <w:sz w:val="32"/>
          <w:szCs w:val="32"/>
        </w:rPr>
      </w:pPr>
      <w:bookmarkStart w:id="46" w:name="_Toc11953"/>
      <w:r>
        <w:rPr>
          <w:rFonts w:ascii="仿宋" w:hAnsi="仿宋" w:eastAsia="仿宋"/>
          <w:sz w:val="32"/>
          <w:szCs w:val="32"/>
        </w:rPr>
        <w:t>20</w:t>
      </w:r>
      <w:r>
        <w:rPr>
          <w:rFonts w:hint="eastAsia" w:ascii="仿宋" w:hAnsi="仿宋" w:eastAsia="仿宋"/>
          <w:sz w:val="32"/>
          <w:szCs w:val="32"/>
        </w:rPr>
        <w:t>20年财政拨款收、支总计3564.73万元。与</w:t>
      </w:r>
      <w:r>
        <w:rPr>
          <w:rFonts w:ascii="仿宋" w:hAnsi="仿宋" w:eastAsia="仿宋"/>
          <w:sz w:val="32"/>
          <w:szCs w:val="32"/>
        </w:rPr>
        <w:t>201</w:t>
      </w:r>
      <w:r>
        <w:rPr>
          <w:rFonts w:hint="eastAsia" w:ascii="仿宋" w:hAnsi="仿宋" w:eastAsia="仿宋"/>
          <w:sz w:val="32"/>
          <w:szCs w:val="32"/>
        </w:rPr>
        <w:t>9年3397.19万元相比，财政拨款收、支总计各增加167.54万元，增长4.93</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sz w:val="32"/>
          <w:szCs w:val="32"/>
        </w:rPr>
        <w:t>新增四川省省直机关办公用房维修项目；信息化建设与设备购置经费较上年有所增加</w:t>
      </w:r>
      <w:r>
        <w:rPr>
          <w:rFonts w:hint="eastAsia" w:eastAsia="仿宋_GB2312"/>
          <w:color w:val="000000" w:themeColor="text1"/>
          <w:sz w:val="32"/>
          <w:szCs w:val="32"/>
          <w14:textFill>
            <w14:solidFill>
              <w14:schemeClr w14:val="tx1"/>
            </w14:solidFill>
          </w14:textFill>
        </w:rPr>
        <w:t>。</w:t>
      </w:r>
      <w:bookmarkEnd w:id="46"/>
    </w:p>
    <w:p>
      <w:pPr>
        <w:jc w:val="center"/>
        <w:outlineLvl w:val="1"/>
      </w:pPr>
      <w:bookmarkStart w:id="47" w:name="_Toc17600"/>
      <w:r>
        <w:drawing>
          <wp:inline distT="0" distB="0" distL="114300" distR="114300">
            <wp:extent cx="4829175" cy="2828925"/>
            <wp:effectExtent l="4445" t="4445" r="12700" b="16510"/>
            <wp:docPr id="1"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End w:id="47"/>
    </w:p>
    <w:p>
      <w:pPr>
        <w:spacing w:line="600" w:lineRule="exact"/>
        <w:jc w:val="center"/>
        <w:outlineLvl w:val="1"/>
        <w:rPr>
          <w:rFonts w:ascii="仿宋" w:hAnsi="仿宋" w:eastAsia="仿宋"/>
          <w:b/>
          <w:sz w:val="32"/>
          <w:szCs w:val="32"/>
        </w:rPr>
      </w:pPr>
      <w:bookmarkStart w:id="48" w:name="_Toc9068"/>
      <w:r>
        <w:rPr>
          <w:rFonts w:hint="eastAsia" w:ascii="仿宋" w:hAnsi="仿宋" w:eastAsia="仿宋"/>
          <w:sz w:val="32"/>
          <w:szCs w:val="32"/>
        </w:rPr>
        <w:t>（图4：财政拨款收、支决算总计变动情况）（柱状图）</w:t>
      </w:r>
      <w:bookmarkEnd w:id="48"/>
    </w:p>
    <w:p>
      <w:pPr>
        <w:spacing w:line="600" w:lineRule="exact"/>
        <w:ind w:firstLine="640" w:firstLineChars="200"/>
        <w:outlineLvl w:val="1"/>
        <w:rPr>
          <w:rStyle w:val="25"/>
          <w:rFonts w:ascii="黑体" w:hAnsi="黑体" w:eastAsia="黑体"/>
          <w:b w:val="0"/>
        </w:rPr>
      </w:pPr>
      <w:bookmarkStart w:id="49" w:name="_Toc15396607"/>
      <w:bookmarkStart w:id="50" w:name="_Toc15377209"/>
      <w:bookmarkStart w:id="51" w:name="_Toc31371"/>
      <w:r>
        <w:rPr>
          <w:rFonts w:hint="eastAsia" w:ascii="黑体" w:hAnsi="黑体" w:eastAsia="黑体"/>
          <w:sz w:val="32"/>
          <w:szCs w:val="32"/>
        </w:rPr>
        <w:t>五、</w:t>
      </w:r>
      <w:r>
        <w:rPr>
          <w:rFonts w:hint="eastAsia" w:ascii="黑体" w:hAnsi="黑体" w:eastAsia="黑体"/>
          <w:b/>
          <w:sz w:val="32"/>
          <w:szCs w:val="32"/>
        </w:rPr>
        <w:t>一</w:t>
      </w:r>
      <w:r>
        <w:rPr>
          <w:rStyle w:val="25"/>
          <w:rFonts w:hint="eastAsia" w:ascii="黑体" w:hAnsi="黑体" w:eastAsia="黑体"/>
          <w:b w:val="0"/>
        </w:rPr>
        <w:t>般公共预算财政拨款支出决算情况说明</w:t>
      </w:r>
      <w:bookmarkEnd w:id="49"/>
      <w:bookmarkEnd w:id="50"/>
      <w:bookmarkEnd w:id="51"/>
    </w:p>
    <w:p>
      <w:pPr>
        <w:spacing w:line="600" w:lineRule="exact"/>
        <w:ind w:firstLine="643" w:firstLineChars="200"/>
        <w:outlineLvl w:val="1"/>
        <w:rPr>
          <w:rFonts w:ascii="仿宋" w:hAnsi="仿宋" w:eastAsia="仿宋"/>
          <w:b/>
          <w:sz w:val="32"/>
          <w:szCs w:val="32"/>
        </w:rPr>
      </w:pPr>
      <w:bookmarkStart w:id="52" w:name="_Toc23222"/>
      <w:bookmarkStart w:id="53" w:name="_Toc15377210"/>
      <w:r>
        <w:rPr>
          <w:rFonts w:hint="eastAsia" w:ascii="仿宋" w:hAnsi="仿宋" w:eastAsia="仿宋"/>
          <w:b/>
          <w:sz w:val="32"/>
          <w:szCs w:val="32"/>
        </w:rPr>
        <w:t>（一）一般公共预算财政拨款支出决算总体情况</w:t>
      </w:r>
      <w:bookmarkEnd w:id="52"/>
      <w:bookmarkEnd w:id="53"/>
    </w:p>
    <w:p>
      <w:pPr>
        <w:spacing w:line="600" w:lineRule="exact"/>
        <w:ind w:firstLine="640" w:firstLineChars="200"/>
        <w:outlineLvl w:val="1"/>
        <w:rPr>
          <w:rFonts w:ascii="仿宋" w:hAnsi="仿宋" w:eastAsia="仿宋"/>
          <w:sz w:val="32"/>
          <w:szCs w:val="32"/>
        </w:rPr>
      </w:pPr>
      <w:bookmarkStart w:id="54" w:name="_Toc3280"/>
      <w:r>
        <w:rPr>
          <w:rFonts w:ascii="仿宋" w:hAnsi="仿宋" w:eastAsia="仿宋"/>
          <w:sz w:val="32"/>
          <w:szCs w:val="32"/>
        </w:rPr>
        <w:t>20</w:t>
      </w:r>
      <w:r>
        <w:rPr>
          <w:rFonts w:hint="eastAsia" w:ascii="仿宋" w:hAnsi="仿宋" w:eastAsia="仿宋"/>
          <w:sz w:val="32"/>
          <w:szCs w:val="32"/>
        </w:rPr>
        <w:t>20年一般公共预算财政拨款支出3,564.73万元，占本年支出合计的62.94</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201</w:t>
      </w:r>
      <w:r>
        <w:rPr>
          <w:rFonts w:hint="eastAsia" w:ascii="仿宋" w:hAnsi="仿宋" w:eastAsia="仿宋"/>
          <w:sz w:val="32"/>
          <w:szCs w:val="32"/>
        </w:rPr>
        <w:t>9年相比，一般公共预算财政拨款增加167.54万元，增长4.93</w:t>
      </w:r>
      <w:r>
        <w:rPr>
          <w:rFonts w:ascii="仿宋" w:hAnsi="仿宋" w:eastAsia="仿宋"/>
          <w:sz w:val="32"/>
          <w:szCs w:val="32"/>
        </w:rPr>
        <w:t>%</w:t>
      </w:r>
      <w:r>
        <w:rPr>
          <w:rFonts w:hint="eastAsia" w:ascii="仿宋" w:hAnsi="仿宋" w:eastAsia="仿宋"/>
          <w:sz w:val="32"/>
          <w:szCs w:val="32"/>
        </w:rPr>
        <w:t>。主要变动原因是</w:t>
      </w:r>
      <w:r>
        <w:rPr>
          <w:rFonts w:hint="eastAsia" w:ascii="仿宋_GB2312" w:hAnsi="仿宋" w:eastAsia="仿宋_GB2312"/>
          <w:sz w:val="32"/>
          <w:szCs w:val="32"/>
        </w:rPr>
        <w:t>新增四川省省直机关办公用房维修项目；信息化建设与设备购置经费较上年有所增加</w:t>
      </w:r>
      <w:r>
        <w:rPr>
          <w:rFonts w:hint="eastAsia" w:eastAsia="仿宋_GB2312"/>
          <w:color w:val="000000" w:themeColor="text1"/>
          <w:sz w:val="32"/>
          <w:szCs w:val="32"/>
          <w14:textFill>
            <w14:solidFill>
              <w14:schemeClr w14:val="tx1"/>
            </w14:solidFill>
          </w14:textFill>
        </w:rPr>
        <w:t>。</w:t>
      </w:r>
      <w:bookmarkEnd w:id="54"/>
    </w:p>
    <w:p>
      <w:pPr>
        <w:outlineLvl w:val="1"/>
      </w:pPr>
      <w:bookmarkStart w:id="55" w:name="_Toc13600"/>
      <w:r>
        <w:drawing>
          <wp:inline distT="0" distB="0" distL="114300" distR="114300">
            <wp:extent cx="5259705" cy="2321560"/>
            <wp:effectExtent l="4445" t="4445" r="8890" b="571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55"/>
    </w:p>
    <w:p>
      <w:pPr>
        <w:spacing w:line="600" w:lineRule="exact"/>
        <w:outlineLvl w:val="1"/>
        <w:rPr>
          <w:rFonts w:ascii="仿宋" w:hAnsi="仿宋" w:eastAsia="仿宋"/>
          <w:sz w:val="32"/>
          <w:szCs w:val="32"/>
        </w:rPr>
      </w:pPr>
      <w:bookmarkStart w:id="56" w:name="_Toc7426"/>
      <w:r>
        <w:rPr>
          <w:rFonts w:hint="eastAsia" w:ascii="仿宋" w:hAnsi="仿宋" w:eastAsia="仿宋"/>
          <w:sz w:val="32"/>
          <w:szCs w:val="32"/>
        </w:rPr>
        <w:t>（图5：一般公共预算财政拨款支出决算变动情况）（柱状图）</w:t>
      </w:r>
      <w:bookmarkEnd w:id="56"/>
    </w:p>
    <w:p>
      <w:pPr>
        <w:spacing w:line="600" w:lineRule="exact"/>
        <w:ind w:firstLine="643" w:firstLineChars="200"/>
        <w:outlineLvl w:val="1"/>
        <w:rPr>
          <w:rFonts w:ascii="仿宋" w:hAnsi="仿宋" w:eastAsia="仿宋"/>
          <w:b/>
          <w:sz w:val="32"/>
          <w:szCs w:val="32"/>
        </w:rPr>
      </w:pPr>
      <w:bookmarkStart w:id="57" w:name="_Toc15377211"/>
      <w:bookmarkStart w:id="58" w:name="_Toc11481"/>
      <w:r>
        <w:rPr>
          <w:rFonts w:hint="eastAsia" w:ascii="仿宋" w:hAnsi="仿宋" w:eastAsia="仿宋"/>
          <w:b/>
          <w:sz w:val="32"/>
          <w:szCs w:val="32"/>
        </w:rPr>
        <w:t>（二）一般公共预算财政拨款支出决算结构情况</w:t>
      </w:r>
      <w:bookmarkEnd w:id="57"/>
      <w:bookmarkEnd w:id="58"/>
    </w:p>
    <w:p>
      <w:pPr>
        <w:spacing w:line="600" w:lineRule="exact"/>
        <w:ind w:firstLine="640"/>
        <w:outlineLvl w:val="1"/>
        <w:rPr>
          <w:rFonts w:ascii="仿宋" w:hAnsi="仿宋" w:eastAsia="仿宋"/>
          <w:b/>
          <w:sz w:val="32"/>
          <w:szCs w:val="32"/>
        </w:rPr>
      </w:pPr>
      <w:bookmarkStart w:id="59" w:name="_Toc10515"/>
      <w:r>
        <w:rPr>
          <w:rFonts w:ascii="仿宋" w:hAnsi="仿宋" w:eastAsia="仿宋"/>
          <w:sz w:val="32"/>
          <w:szCs w:val="32"/>
        </w:rPr>
        <w:t>20</w:t>
      </w:r>
      <w:r>
        <w:rPr>
          <w:rFonts w:hint="eastAsia" w:ascii="仿宋" w:hAnsi="仿宋" w:eastAsia="仿宋"/>
          <w:sz w:val="32"/>
          <w:szCs w:val="32"/>
        </w:rPr>
        <w:t>20年一般公共预算财政拨款支出3,564.73万元，主要用于以下方面</w:t>
      </w:r>
      <w:r>
        <w:rPr>
          <w:rFonts w:ascii="仿宋" w:hAnsi="仿宋" w:eastAsia="仿宋"/>
          <w:sz w:val="32"/>
          <w:szCs w:val="32"/>
        </w:rPr>
        <w:t>:</w:t>
      </w:r>
      <w:r>
        <w:rPr>
          <w:rFonts w:hint="eastAsia" w:ascii="仿宋" w:hAnsi="仿宋" w:eastAsia="仿宋"/>
          <w:b/>
          <w:sz w:val="32"/>
          <w:szCs w:val="32"/>
        </w:rPr>
        <w:t>一般公共服务（类）</w:t>
      </w:r>
      <w:r>
        <w:rPr>
          <w:rFonts w:hint="eastAsia" w:ascii="仿宋" w:hAnsi="仿宋" w:eastAsia="仿宋"/>
          <w:sz w:val="32"/>
          <w:szCs w:val="32"/>
        </w:rPr>
        <w:t>支出121.6万元，占3.41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教育支出（类）</w:t>
      </w:r>
      <w:r>
        <w:rPr>
          <w:rFonts w:hint="eastAsia" w:ascii="仿宋" w:hAnsi="仿宋" w:eastAsia="仿宋"/>
          <w:sz w:val="32"/>
          <w:szCs w:val="32"/>
        </w:rPr>
        <w:t>2,615.53万元，占73.37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科学技术（类）</w:t>
      </w:r>
      <w:r>
        <w:rPr>
          <w:rFonts w:hint="eastAsia" w:ascii="仿宋" w:hAnsi="仿宋" w:eastAsia="仿宋"/>
          <w:sz w:val="32"/>
          <w:szCs w:val="32"/>
        </w:rPr>
        <w:t>支出11.67万元，占0.33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文化旅游体育与传媒（类）支出0万元，占0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社会保障和就业（类）</w:t>
      </w:r>
      <w:r>
        <w:rPr>
          <w:rFonts w:hint="eastAsia" w:ascii="仿宋" w:hAnsi="仿宋" w:eastAsia="仿宋"/>
          <w:sz w:val="32"/>
          <w:szCs w:val="32"/>
        </w:rPr>
        <w:t>支出518.74万元，占14.55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167.19万元，占4.69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rPr>
        <w:t>130.0万元，占3.65</w:t>
      </w:r>
      <w:r>
        <w:rPr>
          <w:rFonts w:ascii="仿宋" w:hAnsi="仿宋" w:eastAsia="仿宋"/>
          <w:sz w:val="32"/>
          <w:szCs w:val="32"/>
        </w:rPr>
        <w:t>%</w:t>
      </w:r>
      <w:r>
        <w:rPr>
          <w:rFonts w:hint="eastAsia" w:ascii="仿宋" w:hAnsi="仿宋" w:eastAsia="仿宋"/>
          <w:sz w:val="32"/>
          <w:szCs w:val="32"/>
        </w:rPr>
        <w:t>。</w:t>
      </w:r>
      <w:bookmarkEnd w:id="59"/>
    </w:p>
    <w:p>
      <w:pPr>
        <w:jc w:val="center"/>
        <w:outlineLvl w:val="1"/>
      </w:pPr>
      <w:bookmarkStart w:id="60" w:name="_Toc5927"/>
      <w:r>
        <w:drawing>
          <wp:inline distT="0" distB="0" distL="114300" distR="114300">
            <wp:extent cx="5105400" cy="2324100"/>
            <wp:effectExtent l="4445" t="4445" r="10795" b="18415"/>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bookmarkEnd w:id="60"/>
    </w:p>
    <w:p>
      <w:pPr>
        <w:spacing w:line="600" w:lineRule="exact"/>
        <w:ind w:firstLine="640" w:firstLineChars="200"/>
        <w:jc w:val="center"/>
        <w:outlineLvl w:val="1"/>
        <w:rPr>
          <w:rFonts w:ascii="仿宋" w:hAnsi="仿宋" w:eastAsia="仿宋"/>
          <w:sz w:val="32"/>
          <w:szCs w:val="32"/>
        </w:rPr>
      </w:pPr>
      <w:bookmarkStart w:id="61" w:name="_Toc17170"/>
      <w:r>
        <w:rPr>
          <w:rFonts w:hint="eastAsia" w:ascii="仿宋" w:hAnsi="仿宋" w:eastAsia="仿宋"/>
          <w:sz w:val="32"/>
          <w:szCs w:val="32"/>
        </w:rPr>
        <w:t>（图6：一般公共预算财政拨款支出决算结构）（饼状图）</w:t>
      </w:r>
      <w:bookmarkEnd w:id="61"/>
    </w:p>
    <w:p>
      <w:pPr>
        <w:spacing w:line="600" w:lineRule="exact"/>
        <w:ind w:firstLine="643" w:firstLineChars="200"/>
        <w:outlineLvl w:val="1"/>
        <w:rPr>
          <w:rFonts w:ascii="仿宋" w:hAnsi="仿宋" w:eastAsia="仿宋"/>
          <w:b/>
          <w:sz w:val="32"/>
          <w:szCs w:val="32"/>
        </w:rPr>
      </w:pPr>
      <w:bookmarkStart w:id="62" w:name="_Toc15377212"/>
      <w:bookmarkStart w:id="63" w:name="_Toc23472"/>
      <w:r>
        <w:rPr>
          <w:rFonts w:hint="eastAsia" w:ascii="仿宋" w:hAnsi="仿宋" w:eastAsia="仿宋"/>
          <w:b/>
          <w:sz w:val="32"/>
          <w:szCs w:val="32"/>
        </w:rPr>
        <w:t>（三）一般公共预算财政拨款支出决算具体情况</w:t>
      </w:r>
      <w:bookmarkEnd w:id="62"/>
      <w:bookmarkEnd w:id="63"/>
    </w:p>
    <w:p>
      <w:pPr>
        <w:spacing w:line="600" w:lineRule="exact"/>
        <w:ind w:firstLine="643" w:firstLineChars="200"/>
        <w:outlineLvl w:val="1"/>
        <w:rPr>
          <w:rStyle w:val="14"/>
          <w:rFonts w:ascii="仿宋" w:hAnsi="仿宋" w:eastAsia="仿宋"/>
          <w:bCs/>
          <w:sz w:val="32"/>
          <w:szCs w:val="32"/>
        </w:rPr>
      </w:pPr>
      <w:bookmarkStart w:id="64" w:name="_Toc26917"/>
      <w:r>
        <w:rPr>
          <w:rFonts w:hint="eastAsia" w:ascii="仿宋" w:hAnsi="仿宋" w:eastAsia="仿宋"/>
          <w:b/>
          <w:sz w:val="32"/>
          <w:szCs w:val="32"/>
        </w:rPr>
        <w:t>2020年一般公共预算支出决算数为3,564.73万元</w:t>
      </w:r>
      <w:r>
        <w:rPr>
          <w:rFonts w:hint="eastAsia" w:ascii="仿宋" w:hAnsi="仿宋" w:eastAsia="仿宋"/>
          <w:sz w:val="32"/>
          <w:szCs w:val="32"/>
        </w:rPr>
        <w:t>，</w:t>
      </w:r>
      <w:r>
        <w:rPr>
          <w:rStyle w:val="14"/>
          <w:rFonts w:hint="eastAsia" w:ascii="仿宋" w:hAnsi="仿宋" w:eastAsia="仿宋"/>
          <w:bCs/>
          <w:sz w:val="32"/>
          <w:szCs w:val="32"/>
        </w:rPr>
        <w:t>完成预算93.03</w:t>
      </w:r>
      <w:r>
        <w:rPr>
          <w:rStyle w:val="14"/>
          <w:rFonts w:ascii="仿宋" w:hAnsi="仿宋" w:eastAsia="仿宋"/>
          <w:bCs/>
          <w:sz w:val="32"/>
          <w:szCs w:val="32"/>
        </w:rPr>
        <w:t>%</w:t>
      </w:r>
      <w:r>
        <w:rPr>
          <w:rStyle w:val="14"/>
          <w:rFonts w:hint="eastAsia" w:ascii="仿宋" w:hAnsi="仿宋" w:eastAsia="仿宋"/>
          <w:bCs/>
          <w:sz w:val="32"/>
          <w:szCs w:val="32"/>
        </w:rPr>
        <w:t>。其中：</w:t>
      </w:r>
      <w:bookmarkEnd w:id="64"/>
    </w:p>
    <w:p>
      <w:pPr>
        <w:numPr>
          <w:ilvl w:val="0"/>
          <w:numId w:val="1"/>
        </w:numPr>
        <w:spacing w:line="600" w:lineRule="exact"/>
        <w:ind w:firstLine="643" w:firstLineChars="200"/>
        <w:outlineLvl w:val="1"/>
        <w:rPr>
          <w:rStyle w:val="14"/>
          <w:rFonts w:ascii="仿宋" w:hAnsi="仿宋" w:eastAsia="仿宋"/>
          <w:b w:val="0"/>
          <w:bCs/>
          <w:sz w:val="32"/>
          <w:szCs w:val="32"/>
        </w:rPr>
      </w:pPr>
      <w:bookmarkStart w:id="65" w:name="_Toc30088"/>
      <w:r>
        <w:rPr>
          <w:rStyle w:val="14"/>
          <w:rFonts w:hint="eastAsia" w:ascii="仿宋" w:hAnsi="仿宋" w:eastAsia="仿宋"/>
          <w:bCs/>
          <w:sz w:val="32"/>
          <w:szCs w:val="32"/>
        </w:rPr>
        <w:t>一般公共服务（类）其他一般公共服务（款）其他一般公共服务（项）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支出决算为121.6万元，完成预算53.12</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w:t>
      </w:r>
      <w:r>
        <w:rPr>
          <w:rFonts w:hint="eastAsia" w:eastAsia="仿宋_GB2312"/>
          <w:color w:val="000000" w:themeColor="text1"/>
          <w:sz w:val="32"/>
          <w:szCs w:val="32"/>
          <w14:textFill>
            <w14:solidFill>
              <w14:schemeClr w14:val="tx1"/>
            </w14:solidFill>
          </w14:textFill>
        </w:rPr>
        <w:t>四川省省直机关办公用房维修专项资金安排的办公用房及地下车库维修改造项目涉及跨年实施及支付</w:t>
      </w:r>
      <w:r>
        <w:rPr>
          <w:rStyle w:val="14"/>
          <w:rFonts w:hint="eastAsia" w:ascii="仿宋" w:hAnsi="仿宋" w:eastAsia="仿宋"/>
          <w:b w:val="0"/>
          <w:bCs/>
          <w:sz w:val="32"/>
          <w:szCs w:val="32"/>
        </w:rPr>
        <w:t>。</w:t>
      </w:r>
      <w:bookmarkEnd w:id="65"/>
    </w:p>
    <w:p>
      <w:pPr>
        <w:spacing w:line="600" w:lineRule="exact"/>
        <w:ind w:firstLine="643" w:firstLineChars="200"/>
        <w:outlineLvl w:val="1"/>
        <w:rPr>
          <w:rFonts w:ascii="仿宋" w:hAnsi="仿宋" w:eastAsia="仿宋"/>
          <w:b/>
          <w:sz w:val="32"/>
          <w:szCs w:val="32"/>
        </w:rPr>
      </w:pPr>
      <w:bookmarkStart w:id="66" w:name="_Toc16902"/>
      <w:r>
        <w:rPr>
          <w:rStyle w:val="14"/>
          <w:rFonts w:ascii="仿宋" w:hAnsi="仿宋" w:eastAsia="仿宋"/>
          <w:bCs/>
          <w:sz w:val="32"/>
          <w:szCs w:val="32"/>
        </w:rPr>
        <w:t>2.</w:t>
      </w:r>
      <w:r>
        <w:rPr>
          <w:rStyle w:val="14"/>
          <w:rFonts w:hint="eastAsia" w:ascii="仿宋" w:hAnsi="仿宋" w:eastAsia="仿宋"/>
          <w:bCs/>
          <w:sz w:val="32"/>
          <w:szCs w:val="32"/>
        </w:rPr>
        <w:t>教育（类）</w:t>
      </w:r>
      <w:r>
        <w:rPr>
          <w:rStyle w:val="14"/>
          <w:rFonts w:hint="eastAsia" w:ascii="仿宋" w:hAnsi="仿宋" w:eastAsia="仿宋"/>
          <w:bCs/>
          <w:color w:val="000000"/>
          <w:sz w:val="32"/>
          <w:szCs w:val="32"/>
        </w:rPr>
        <w:t>进修及培训（款）干部教育（项）</w:t>
      </w:r>
      <w:r>
        <w:rPr>
          <w:rStyle w:val="14"/>
          <w:rFonts w:ascii="仿宋" w:hAnsi="仿宋" w:eastAsia="仿宋"/>
          <w:bCs/>
          <w:color w:val="000000"/>
          <w:sz w:val="32"/>
          <w:szCs w:val="32"/>
        </w:rPr>
        <w:t>:</w:t>
      </w:r>
      <w:r>
        <w:rPr>
          <w:rStyle w:val="14"/>
          <w:rFonts w:ascii="仿宋" w:hAnsi="仿宋" w:eastAsia="仿宋"/>
          <w:b w:val="0"/>
          <w:bCs/>
          <w:color w:val="000000"/>
          <w:sz w:val="32"/>
          <w:szCs w:val="32"/>
        </w:rPr>
        <w:t xml:space="preserve"> </w:t>
      </w:r>
      <w:r>
        <w:rPr>
          <w:rStyle w:val="14"/>
          <w:rFonts w:hint="eastAsia" w:ascii="仿宋" w:hAnsi="仿宋" w:eastAsia="仿宋"/>
          <w:b w:val="0"/>
          <w:bCs/>
          <w:sz w:val="32"/>
          <w:szCs w:val="32"/>
        </w:rPr>
        <w:t>支出决算为2615.53万元，完成预算90.82</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w:t>
      </w:r>
      <w:r>
        <w:rPr>
          <w:rStyle w:val="14"/>
          <w:rFonts w:hint="eastAsia" w:ascii="仿宋" w:hAnsi="仿宋" w:eastAsia="仿宋"/>
          <w:b w:val="0"/>
          <w:bCs/>
          <w:color w:val="000000"/>
          <w:sz w:val="32"/>
          <w:szCs w:val="32"/>
        </w:rPr>
        <w:t>物管费、学员食堂食材政府采购项目，按照合同约定的服务期涉及跨年支付。</w:t>
      </w:r>
      <w:bookmarkEnd w:id="66"/>
    </w:p>
    <w:p>
      <w:pPr>
        <w:spacing w:line="600" w:lineRule="exact"/>
        <w:ind w:firstLine="643" w:firstLineChars="200"/>
        <w:outlineLvl w:val="1"/>
        <w:rPr>
          <w:rFonts w:ascii="仿宋" w:hAnsi="仿宋" w:eastAsia="仿宋"/>
          <w:b/>
          <w:sz w:val="32"/>
          <w:szCs w:val="32"/>
        </w:rPr>
      </w:pPr>
      <w:bookmarkStart w:id="67" w:name="_Toc6089"/>
      <w:r>
        <w:rPr>
          <w:rStyle w:val="14"/>
          <w:rFonts w:ascii="仿宋" w:hAnsi="仿宋" w:eastAsia="仿宋"/>
          <w:bCs/>
          <w:sz w:val="32"/>
          <w:szCs w:val="32"/>
        </w:rPr>
        <w:t>3.</w:t>
      </w:r>
      <w:r>
        <w:rPr>
          <w:rStyle w:val="14"/>
          <w:rFonts w:hint="eastAsia" w:ascii="仿宋" w:hAnsi="仿宋" w:eastAsia="仿宋"/>
          <w:bCs/>
          <w:sz w:val="32"/>
          <w:szCs w:val="32"/>
        </w:rPr>
        <w:t>科学技术（类）</w:t>
      </w:r>
      <w:r>
        <w:rPr>
          <w:rStyle w:val="14"/>
          <w:rFonts w:hint="eastAsia" w:ascii="仿宋" w:hAnsi="仿宋" w:eastAsia="仿宋"/>
          <w:bCs/>
          <w:color w:val="000000"/>
          <w:sz w:val="32"/>
          <w:szCs w:val="32"/>
        </w:rPr>
        <w:t>其他科学技术（款）其他科学技术（项）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支出决算为11.67万元，完成预算63.15</w:t>
      </w:r>
      <w:r>
        <w:rPr>
          <w:rStyle w:val="14"/>
          <w:rFonts w:ascii="仿宋" w:hAnsi="仿宋" w:eastAsia="仿宋"/>
          <w:b w:val="0"/>
          <w:bCs/>
          <w:sz w:val="32"/>
          <w:szCs w:val="32"/>
        </w:rPr>
        <w:t>%</w:t>
      </w:r>
      <w:r>
        <w:rPr>
          <w:rStyle w:val="14"/>
          <w:rFonts w:hint="eastAsia" w:ascii="仿宋" w:hAnsi="仿宋" w:eastAsia="仿宋"/>
          <w:b w:val="0"/>
          <w:bCs/>
          <w:sz w:val="32"/>
          <w:szCs w:val="32"/>
        </w:rPr>
        <w:t>，决算数小于</w:t>
      </w:r>
      <w:r>
        <w:rPr>
          <w:rStyle w:val="14"/>
          <w:rFonts w:ascii="仿宋" w:hAnsi="仿宋" w:eastAsia="仿宋"/>
          <w:b w:val="0"/>
          <w:bCs/>
          <w:sz w:val="32"/>
          <w:szCs w:val="32"/>
        </w:rPr>
        <w:t>/</w:t>
      </w:r>
      <w:r>
        <w:rPr>
          <w:rStyle w:val="14"/>
          <w:rFonts w:hint="eastAsia" w:ascii="仿宋" w:hAnsi="仿宋" w:eastAsia="仿宋"/>
          <w:b w:val="0"/>
          <w:bCs/>
          <w:sz w:val="32"/>
          <w:szCs w:val="32"/>
        </w:rPr>
        <w:t>等于预算数的主要原因是</w:t>
      </w:r>
      <w:r>
        <w:rPr>
          <w:rStyle w:val="14"/>
          <w:rFonts w:hint="eastAsia" w:ascii="仿宋" w:hAnsi="仿宋" w:eastAsia="仿宋"/>
          <w:b w:val="0"/>
          <w:bCs/>
          <w:color w:val="000000"/>
          <w:sz w:val="32"/>
          <w:szCs w:val="32"/>
        </w:rPr>
        <w:t>省级项目课题尚未结项，经费涉及跨年支付</w:t>
      </w:r>
      <w:r>
        <w:rPr>
          <w:rStyle w:val="14"/>
          <w:rFonts w:hint="eastAsia" w:ascii="仿宋" w:hAnsi="仿宋" w:eastAsia="仿宋"/>
          <w:b w:val="0"/>
          <w:bCs/>
          <w:sz w:val="32"/>
          <w:szCs w:val="32"/>
        </w:rPr>
        <w:t>。</w:t>
      </w:r>
      <w:bookmarkEnd w:id="67"/>
    </w:p>
    <w:p>
      <w:pPr>
        <w:spacing w:line="600" w:lineRule="exact"/>
        <w:ind w:firstLine="643" w:firstLineChars="200"/>
        <w:outlineLvl w:val="1"/>
        <w:rPr>
          <w:rStyle w:val="14"/>
          <w:rFonts w:ascii="仿宋" w:hAnsi="仿宋" w:eastAsia="仿宋"/>
          <w:b w:val="0"/>
          <w:bCs/>
          <w:sz w:val="32"/>
          <w:szCs w:val="32"/>
        </w:rPr>
      </w:pPr>
      <w:bookmarkStart w:id="68" w:name="_Toc29753"/>
      <w:r>
        <w:rPr>
          <w:rStyle w:val="14"/>
          <w:rFonts w:ascii="仿宋" w:hAnsi="仿宋" w:eastAsia="仿宋"/>
          <w:bCs/>
          <w:sz w:val="32"/>
          <w:szCs w:val="32"/>
        </w:rPr>
        <w:t>4.</w:t>
      </w:r>
      <w:r>
        <w:rPr>
          <w:rStyle w:val="14"/>
          <w:rFonts w:hint="eastAsia" w:ascii="仿宋" w:hAnsi="仿宋" w:eastAsia="仿宋"/>
          <w:bCs/>
          <w:sz w:val="32"/>
          <w:szCs w:val="32"/>
        </w:rPr>
        <w:t>社会保障和就业（类）行政事业单位养老支出（款）事业单位离退休（项）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支出决算为291.68万元，完成预算96.61</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与预算数基本持平</w:t>
      </w:r>
      <w:r>
        <w:rPr>
          <w:rStyle w:val="14"/>
          <w:rFonts w:hint="eastAsia" w:ascii="仿宋" w:hAnsi="仿宋" w:eastAsia="仿宋"/>
          <w:b w:val="0"/>
          <w:bCs/>
          <w:sz w:val="32"/>
          <w:szCs w:val="32"/>
        </w:rPr>
        <w:t>。</w:t>
      </w:r>
      <w:bookmarkEnd w:id="68"/>
    </w:p>
    <w:p>
      <w:pPr>
        <w:spacing w:line="600" w:lineRule="exact"/>
        <w:ind w:firstLine="643" w:firstLineChars="200"/>
        <w:outlineLvl w:val="1"/>
        <w:rPr>
          <w:rStyle w:val="14"/>
          <w:rFonts w:ascii="仿宋" w:hAnsi="仿宋" w:eastAsia="仿宋"/>
          <w:b w:val="0"/>
          <w:bCs/>
          <w:sz w:val="32"/>
          <w:szCs w:val="32"/>
        </w:rPr>
      </w:pPr>
      <w:bookmarkStart w:id="69" w:name="_Toc22383"/>
      <w:r>
        <w:rPr>
          <w:rStyle w:val="14"/>
          <w:rFonts w:hint="eastAsia" w:ascii="仿宋" w:hAnsi="仿宋" w:eastAsia="仿宋"/>
          <w:bCs/>
          <w:sz w:val="32"/>
          <w:szCs w:val="32"/>
        </w:rPr>
        <w:t>5.社会保障和就业（类）行政事业单位养老支出（款）机关事业单位基本养老保险缴费支出（项）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支出决算为154万元，完成预算100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69"/>
    </w:p>
    <w:p>
      <w:pPr>
        <w:spacing w:line="600" w:lineRule="exact"/>
        <w:ind w:firstLine="643" w:firstLineChars="200"/>
        <w:outlineLvl w:val="1"/>
        <w:rPr>
          <w:rStyle w:val="14"/>
          <w:rFonts w:ascii="仿宋" w:hAnsi="仿宋" w:eastAsia="仿宋"/>
          <w:b w:val="0"/>
          <w:bCs/>
          <w:sz w:val="32"/>
          <w:szCs w:val="32"/>
        </w:rPr>
      </w:pPr>
      <w:bookmarkStart w:id="70" w:name="_Toc20268"/>
      <w:r>
        <w:rPr>
          <w:rStyle w:val="14"/>
          <w:rFonts w:hint="eastAsia" w:ascii="仿宋" w:hAnsi="仿宋" w:eastAsia="仿宋"/>
          <w:bCs/>
          <w:sz w:val="32"/>
          <w:szCs w:val="32"/>
        </w:rPr>
        <w:t>6.社会保障和就业（类）行政事业单位养老支出（款）机关事业单位职业年金缴费支出（项）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支出决算为73万元，完成预算100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0"/>
    </w:p>
    <w:p>
      <w:pPr>
        <w:spacing w:line="600" w:lineRule="exact"/>
        <w:ind w:firstLine="643" w:firstLineChars="200"/>
        <w:outlineLvl w:val="1"/>
      </w:pPr>
      <w:bookmarkStart w:id="71" w:name="_Toc8971"/>
      <w:r>
        <w:rPr>
          <w:rStyle w:val="14"/>
          <w:rFonts w:hint="eastAsia" w:ascii="仿宋" w:hAnsi="仿宋" w:eastAsia="仿宋"/>
          <w:bCs/>
          <w:sz w:val="32"/>
          <w:szCs w:val="32"/>
        </w:rPr>
        <w:t>7.社会保障和就业（类）其他社会保障和就业支出（款）其他社会保障和就业支出（项）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Style w:val="14"/>
          <w:rFonts w:hint="eastAsia" w:ascii="仿宋" w:hAnsi="仿宋" w:eastAsia="仿宋"/>
          <w:b w:val="0"/>
          <w:bCs/>
          <w:sz w:val="32"/>
          <w:szCs w:val="32"/>
        </w:rPr>
        <w:t>支出决算为0.06万元，完成预算54.55</w:t>
      </w:r>
      <w:r>
        <w:rPr>
          <w:rStyle w:val="14"/>
          <w:rFonts w:ascii="仿宋" w:hAnsi="仿宋" w:eastAsia="仿宋"/>
          <w:b w:val="0"/>
          <w:bCs/>
          <w:sz w:val="32"/>
          <w:szCs w:val="32"/>
        </w:rPr>
        <w:t>%</w:t>
      </w:r>
      <w:r>
        <w:rPr>
          <w:rStyle w:val="14"/>
          <w:rFonts w:hint="eastAsia" w:ascii="仿宋" w:hAnsi="仿宋" w:eastAsia="仿宋"/>
          <w:b w:val="0"/>
          <w:bCs/>
          <w:sz w:val="32"/>
          <w:szCs w:val="32"/>
        </w:rPr>
        <w:t>，决算数小于预算数的主要原因是人员变动。</w:t>
      </w:r>
      <w:bookmarkEnd w:id="71"/>
    </w:p>
    <w:p>
      <w:pPr>
        <w:spacing w:line="600" w:lineRule="exact"/>
        <w:ind w:firstLine="643" w:firstLineChars="200"/>
        <w:outlineLvl w:val="1"/>
        <w:rPr>
          <w:rFonts w:ascii="仿宋" w:hAnsi="仿宋" w:eastAsia="仿宋"/>
          <w:b/>
          <w:sz w:val="32"/>
          <w:szCs w:val="32"/>
        </w:rPr>
      </w:pPr>
      <w:bookmarkStart w:id="72" w:name="_Toc22683"/>
      <w:r>
        <w:rPr>
          <w:rStyle w:val="14"/>
          <w:rFonts w:hint="eastAsia" w:ascii="仿宋" w:hAnsi="仿宋" w:eastAsia="仿宋"/>
          <w:bCs/>
          <w:sz w:val="32"/>
          <w:szCs w:val="32"/>
        </w:rPr>
        <w:t>8</w:t>
      </w:r>
      <w:r>
        <w:rPr>
          <w:rStyle w:val="14"/>
          <w:rFonts w:ascii="仿宋" w:hAnsi="仿宋" w:eastAsia="仿宋"/>
          <w:bCs/>
          <w:sz w:val="32"/>
          <w:szCs w:val="32"/>
        </w:rPr>
        <w:t>.</w:t>
      </w:r>
      <w:r>
        <w:rPr>
          <w:rFonts w:hint="eastAsia" w:ascii="仿宋" w:hAnsi="仿宋" w:eastAsia="仿宋"/>
          <w:b/>
          <w:bCs/>
          <w:sz w:val="32"/>
          <w:szCs w:val="32"/>
        </w:rPr>
        <w:t>卫生健康支出</w:t>
      </w:r>
      <w:r>
        <w:rPr>
          <w:rStyle w:val="14"/>
          <w:rFonts w:hint="eastAsia" w:ascii="仿宋" w:hAnsi="仿宋" w:eastAsia="仿宋"/>
          <w:bCs/>
          <w:sz w:val="32"/>
          <w:szCs w:val="32"/>
        </w:rPr>
        <w:t>（类）行政事业单位医疗（款）事业单位医疗（项）</w:t>
      </w:r>
      <w:r>
        <w:rPr>
          <w:rStyle w:val="14"/>
          <w:rFonts w:ascii="仿宋" w:hAnsi="仿宋" w:eastAsia="仿宋"/>
          <w:bCs/>
          <w:sz w:val="32"/>
          <w:szCs w:val="32"/>
        </w:rPr>
        <w:t>:</w:t>
      </w:r>
      <w:r>
        <w:rPr>
          <w:rStyle w:val="14"/>
          <w:rFonts w:hint="eastAsia" w:ascii="仿宋" w:hAnsi="仿宋" w:eastAsia="仿宋"/>
          <w:b w:val="0"/>
          <w:bCs/>
          <w:sz w:val="32"/>
          <w:szCs w:val="32"/>
        </w:rPr>
        <w:t>支出决算为130.21万元，完成预算100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2"/>
    </w:p>
    <w:p>
      <w:pPr>
        <w:spacing w:line="600" w:lineRule="exact"/>
        <w:ind w:firstLine="643" w:firstLineChars="200"/>
        <w:outlineLvl w:val="1"/>
        <w:rPr>
          <w:rStyle w:val="14"/>
          <w:rFonts w:ascii="仿宋" w:hAnsi="仿宋" w:eastAsia="仿宋"/>
          <w:b w:val="0"/>
          <w:bCs/>
          <w:sz w:val="32"/>
          <w:szCs w:val="32"/>
        </w:rPr>
      </w:pPr>
      <w:bookmarkStart w:id="73" w:name="_Toc15634"/>
      <w:r>
        <w:rPr>
          <w:rStyle w:val="14"/>
          <w:rFonts w:hint="eastAsia" w:ascii="仿宋" w:hAnsi="仿宋" w:eastAsia="仿宋"/>
          <w:bCs/>
          <w:sz w:val="32"/>
          <w:szCs w:val="32"/>
        </w:rPr>
        <w:t>9</w:t>
      </w:r>
      <w:r>
        <w:rPr>
          <w:rStyle w:val="14"/>
          <w:rFonts w:ascii="仿宋" w:hAnsi="仿宋" w:eastAsia="仿宋"/>
          <w:bCs/>
          <w:sz w:val="32"/>
          <w:szCs w:val="32"/>
        </w:rPr>
        <w:t>.</w:t>
      </w:r>
      <w:r>
        <w:rPr>
          <w:rFonts w:hint="eastAsia" w:ascii="仿宋" w:hAnsi="仿宋" w:eastAsia="仿宋"/>
          <w:b/>
          <w:bCs/>
          <w:sz w:val="32"/>
          <w:szCs w:val="32"/>
        </w:rPr>
        <w:t>卫生健康支出</w:t>
      </w:r>
      <w:r>
        <w:rPr>
          <w:rStyle w:val="14"/>
          <w:rFonts w:hint="eastAsia" w:ascii="仿宋" w:hAnsi="仿宋" w:eastAsia="仿宋"/>
          <w:bCs/>
          <w:sz w:val="32"/>
          <w:szCs w:val="32"/>
        </w:rPr>
        <w:t>（类）行政事业单位医疗（款）公务员医疗补助（项）</w:t>
      </w:r>
      <w:r>
        <w:rPr>
          <w:rStyle w:val="14"/>
          <w:rFonts w:ascii="仿宋" w:hAnsi="仿宋" w:eastAsia="仿宋"/>
          <w:bCs/>
          <w:sz w:val="32"/>
          <w:szCs w:val="32"/>
        </w:rPr>
        <w:t>:</w:t>
      </w:r>
      <w:r>
        <w:rPr>
          <w:rStyle w:val="14"/>
          <w:rFonts w:hint="eastAsia" w:ascii="仿宋" w:hAnsi="仿宋" w:eastAsia="仿宋"/>
          <w:b w:val="0"/>
          <w:bCs/>
          <w:sz w:val="32"/>
          <w:szCs w:val="32"/>
        </w:rPr>
        <w:t>支出决算为36.98万元，完成预算99.49</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与预算数基本持平</w:t>
      </w:r>
      <w:r>
        <w:rPr>
          <w:rStyle w:val="14"/>
          <w:rFonts w:hint="eastAsia" w:ascii="仿宋" w:hAnsi="仿宋" w:eastAsia="仿宋"/>
          <w:b w:val="0"/>
          <w:bCs/>
          <w:sz w:val="32"/>
          <w:szCs w:val="32"/>
        </w:rPr>
        <w:t>。</w:t>
      </w:r>
      <w:bookmarkEnd w:id="73"/>
    </w:p>
    <w:p>
      <w:pPr>
        <w:spacing w:line="600" w:lineRule="exact"/>
        <w:ind w:firstLine="643" w:firstLineChars="200"/>
        <w:outlineLvl w:val="1"/>
        <w:rPr>
          <w:rStyle w:val="14"/>
          <w:rFonts w:ascii="仿宋" w:hAnsi="仿宋" w:eastAsia="仿宋"/>
          <w:b w:val="0"/>
          <w:bCs/>
          <w:sz w:val="32"/>
          <w:szCs w:val="32"/>
        </w:rPr>
      </w:pPr>
      <w:bookmarkStart w:id="74" w:name="_Toc30254"/>
      <w:r>
        <w:rPr>
          <w:rStyle w:val="14"/>
          <w:rFonts w:hint="eastAsia" w:ascii="仿宋" w:hAnsi="仿宋" w:eastAsia="仿宋"/>
          <w:bCs/>
          <w:sz w:val="32"/>
          <w:szCs w:val="32"/>
        </w:rPr>
        <w:t>10</w:t>
      </w:r>
      <w:r>
        <w:rPr>
          <w:rStyle w:val="14"/>
          <w:rFonts w:ascii="仿宋" w:hAnsi="仿宋" w:eastAsia="仿宋"/>
          <w:bCs/>
          <w:sz w:val="32"/>
          <w:szCs w:val="32"/>
        </w:rPr>
        <w:t>.</w:t>
      </w:r>
      <w:r>
        <w:rPr>
          <w:rFonts w:hint="eastAsia" w:ascii="仿宋" w:hAnsi="仿宋" w:eastAsia="仿宋"/>
          <w:b/>
          <w:bCs/>
          <w:sz w:val="32"/>
          <w:szCs w:val="32"/>
        </w:rPr>
        <w:t>住房保障支出</w:t>
      </w:r>
      <w:r>
        <w:rPr>
          <w:rStyle w:val="14"/>
          <w:rFonts w:hint="eastAsia" w:ascii="仿宋" w:hAnsi="仿宋" w:eastAsia="仿宋"/>
          <w:bCs/>
          <w:sz w:val="32"/>
          <w:szCs w:val="32"/>
        </w:rPr>
        <w:t>（类）住房改革支出（款）住房公积金（项）</w:t>
      </w:r>
      <w:r>
        <w:rPr>
          <w:rStyle w:val="14"/>
          <w:rFonts w:ascii="仿宋" w:hAnsi="仿宋" w:eastAsia="仿宋"/>
          <w:bCs/>
          <w:sz w:val="32"/>
          <w:szCs w:val="32"/>
        </w:rPr>
        <w:t>:</w:t>
      </w:r>
      <w:r>
        <w:rPr>
          <w:rStyle w:val="14"/>
          <w:rFonts w:hint="eastAsia" w:ascii="仿宋" w:hAnsi="仿宋" w:eastAsia="仿宋"/>
          <w:b w:val="0"/>
          <w:bCs/>
          <w:sz w:val="32"/>
          <w:szCs w:val="32"/>
        </w:rPr>
        <w:t>支出决算为130万元，完成预算100</w:t>
      </w:r>
      <w:r>
        <w:rPr>
          <w:rStyle w:val="14"/>
          <w:rFonts w:ascii="仿宋" w:hAnsi="仿宋" w:eastAsia="仿宋"/>
          <w:b w:val="0"/>
          <w:bCs/>
          <w:sz w:val="32"/>
          <w:szCs w:val="32"/>
        </w:rPr>
        <w:t>%</w:t>
      </w:r>
      <w:r>
        <w:rPr>
          <w:rStyle w:val="14"/>
          <w:rFonts w:hint="eastAsia" w:ascii="仿宋" w:hAnsi="仿宋" w:eastAsia="仿宋"/>
          <w:b w:val="0"/>
          <w:bCs/>
          <w:sz w:val="32"/>
          <w:szCs w:val="32"/>
        </w:rPr>
        <w:t>，</w:t>
      </w:r>
      <w:r>
        <w:rPr>
          <w:rStyle w:val="14"/>
          <w:rFonts w:hint="eastAsia" w:ascii="仿宋" w:hAnsi="仿宋" w:eastAsia="仿宋"/>
          <w:b w:val="0"/>
          <w:bCs/>
          <w:color w:val="000000"/>
          <w:sz w:val="32"/>
          <w:szCs w:val="32"/>
        </w:rPr>
        <w:t>与预算数持平</w:t>
      </w:r>
      <w:r>
        <w:rPr>
          <w:rStyle w:val="14"/>
          <w:rFonts w:hint="eastAsia" w:ascii="仿宋" w:hAnsi="仿宋" w:eastAsia="仿宋"/>
          <w:b w:val="0"/>
          <w:bCs/>
          <w:sz w:val="32"/>
          <w:szCs w:val="32"/>
        </w:rPr>
        <w:t>。</w:t>
      </w:r>
      <w:bookmarkEnd w:id="74"/>
      <w:bookmarkStart w:id="75" w:name="_Toc7409"/>
      <w:bookmarkStart w:id="76" w:name="_Toc15396608"/>
      <w:bookmarkStart w:id="77" w:name="_Toc15377214"/>
    </w:p>
    <w:p>
      <w:pPr>
        <w:spacing w:line="600" w:lineRule="exact"/>
        <w:ind w:firstLine="640" w:firstLineChars="200"/>
        <w:outlineLvl w:val="1"/>
        <w:rPr>
          <w:rStyle w:val="25"/>
        </w:rPr>
      </w:pPr>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5"/>
          <w:rFonts w:hint="eastAsia" w:ascii="黑体" w:hAnsi="黑体" w:eastAsia="黑体"/>
          <w:b w:val="0"/>
        </w:rPr>
        <w:t>般公共预算财政拨款基本支出决算情况说明</w:t>
      </w:r>
      <w:bookmarkEnd w:id="75"/>
      <w:bookmarkEnd w:id="76"/>
      <w:bookmarkEnd w:id="77"/>
      <w:r>
        <w:rPr>
          <w:rStyle w:val="25"/>
          <w:rFonts w:ascii="黑体" w:hAnsi="黑体" w:eastAsia="黑体"/>
          <w:b w:val="0"/>
        </w:rPr>
        <w:tab/>
      </w:r>
    </w:p>
    <w:p>
      <w:pPr>
        <w:spacing w:line="600" w:lineRule="exact"/>
        <w:ind w:firstLine="645"/>
        <w:outlineLvl w:val="1"/>
        <w:rPr>
          <w:rFonts w:ascii="仿宋" w:hAnsi="仿宋" w:eastAsia="仿宋"/>
          <w:sz w:val="32"/>
          <w:szCs w:val="32"/>
        </w:rPr>
      </w:pPr>
      <w:bookmarkStart w:id="78" w:name="_Toc1546"/>
      <w:r>
        <w:rPr>
          <w:rFonts w:ascii="仿宋" w:hAnsi="仿宋" w:eastAsia="仿宋"/>
          <w:sz w:val="32"/>
          <w:szCs w:val="32"/>
        </w:rPr>
        <w:t>20</w:t>
      </w:r>
      <w:r>
        <w:rPr>
          <w:rFonts w:hint="eastAsia" w:ascii="仿宋" w:hAnsi="仿宋" w:eastAsia="仿宋"/>
          <w:sz w:val="32"/>
          <w:szCs w:val="32"/>
        </w:rPr>
        <w:t>20年一般公共预算财政拨款基本支出2650.08万元，其中：</w:t>
      </w:r>
      <w:bookmarkEnd w:id="78"/>
    </w:p>
    <w:p>
      <w:pPr>
        <w:spacing w:line="600" w:lineRule="exact"/>
        <w:ind w:firstLine="645"/>
        <w:outlineLvl w:val="1"/>
        <w:rPr>
          <w:rFonts w:ascii="仿宋" w:hAnsi="仿宋" w:eastAsia="仿宋"/>
          <w:sz w:val="32"/>
          <w:szCs w:val="32"/>
        </w:rPr>
      </w:pPr>
      <w:bookmarkStart w:id="79" w:name="_Toc32146"/>
      <w:r>
        <w:rPr>
          <w:rFonts w:hint="eastAsia" w:ascii="仿宋" w:hAnsi="仿宋" w:eastAsia="仿宋"/>
          <w:sz w:val="32"/>
          <w:szCs w:val="32"/>
        </w:rPr>
        <w:t>人员经费2150.23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499.85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bookmarkEnd w:id="79"/>
    </w:p>
    <w:p>
      <w:pPr>
        <w:spacing w:line="600" w:lineRule="exact"/>
        <w:ind w:firstLine="640"/>
        <w:outlineLvl w:val="1"/>
        <w:rPr>
          <w:rStyle w:val="25"/>
          <w:rFonts w:ascii="黑体" w:hAnsi="黑体" w:eastAsia="黑体"/>
          <w:b w:val="0"/>
        </w:rPr>
      </w:pPr>
      <w:bookmarkStart w:id="80" w:name="_Toc15377215"/>
      <w:bookmarkStart w:id="81" w:name="_Toc7048"/>
      <w:bookmarkStart w:id="82" w:name="_Toc15396609"/>
      <w:r>
        <w:rPr>
          <w:rFonts w:hint="eastAsia" w:ascii="黑体" w:eastAsia="黑体"/>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80"/>
      <w:bookmarkEnd w:id="81"/>
      <w:bookmarkEnd w:id="82"/>
    </w:p>
    <w:p>
      <w:pPr>
        <w:spacing w:line="600" w:lineRule="exact"/>
        <w:ind w:firstLine="640"/>
        <w:outlineLvl w:val="1"/>
        <w:rPr>
          <w:rFonts w:ascii="仿宋" w:hAnsi="仿宋" w:eastAsia="仿宋"/>
          <w:b/>
          <w:sz w:val="32"/>
          <w:szCs w:val="32"/>
        </w:rPr>
      </w:pPr>
      <w:bookmarkStart w:id="83" w:name="_Toc13318"/>
      <w:bookmarkStart w:id="84" w:name="_Toc15377216"/>
      <w:r>
        <w:rPr>
          <w:rFonts w:hint="eastAsia" w:ascii="仿宋" w:hAnsi="仿宋" w:eastAsia="仿宋"/>
          <w:b/>
          <w:sz w:val="32"/>
          <w:szCs w:val="32"/>
        </w:rPr>
        <w:t>（一）“三公”经费财政拨款支出决算总体情况说明</w:t>
      </w:r>
      <w:bookmarkEnd w:id="83"/>
      <w:bookmarkEnd w:id="84"/>
    </w:p>
    <w:p>
      <w:pPr>
        <w:outlineLvl w:val="1"/>
        <w:rPr>
          <w:rFonts w:ascii="仿宋" w:hAnsi="仿宋" w:eastAsia="仿宋"/>
          <w:sz w:val="32"/>
          <w:szCs w:val="32"/>
        </w:rPr>
      </w:pPr>
      <w:bookmarkStart w:id="85" w:name="_Toc28313"/>
      <w:r>
        <w:rPr>
          <w:rFonts w:ascii="仿宋" w:hAnsi="仿宋" w:eastAsia="仿宋"/>
          <w:sz w:val="32"/>
          <w:szCs w:val="32"/>
        </w:rPr>
        <w:t>20</w:t>
      </w:r>
      <w:r>
        <w:rPr>
          <w:rFonts w:hint="eastAsia" w:ascii="仿宋" w:hAnsi="仿宋" w:eastAsia="仿宋"/>
          <w:sz w:val="32"/>
          <w:szCs w:val="32"/>
        </w:rPr>
        <w:t>20年“三公”经费财政拨款支出决算为5.79万元，完成预算72.38</w:t>
      </w:r>
      <w:r>
        <w:rPr>
          <w:rFonts w:ascii="仿宋" w:hAnsi="仿宋" w:eastAsia="仿宋"/>
          <w:sz w:val="32"/>
          <w:szCs w:val="32"/>
        </w:rPr>
        <w:t>%</w:t>
      </w:r>
      <w:r>
        <w:rPr>
          <w:rFonts w:hint="eastAsia" w:ascii="仿宋" w:hAnsi="仿宋" w:eastAsia="仿宋"/>
          <w:sz w:val="32"/>
          <w:szCs w:val="32"/>
        </w:rPr>
        <w:t>，决算数小于预算数的主要原因是</w:t>
      </w:r>
      <w:r>
        <w:rPr>
          <w:rFonts w:hint="eastAsia" w:ascii="仿宋_GB2312" w:hAnsi="仿宋" w:eastAsia="仿宋_GB2312"/>
          <w:sz w:val="32"/>
          <w:szCs w:val="32"/>
        </w:rPr>
        <w:t>受疫情影响，公车运行有所减少，运行维护支出相应减少；接待任务较上年减少，故接待费支出减少</w:t>
      </w:r>
      <w:r>
        <w:rPr>
          <w:rFonts w:hint="eastAsia" w:ascii="仿宋" w:hAnsi="仿宋" w:eastAsia="仿宋"/>
          <w:sz w:val="32"/>
          <w:szCs w:val="32"/>
        </w:rPr>
        <w:t>。</w:t>
      </w:r>
      <w:bookmarkEnd w:id="85"/>
    </w:p>
    <w:p>
      <w:pPr>
        <w:spacing w:line="600" w:lineRule="exact"/>
        <w:ind w:firstLine="640"/>
        <w:outlineLvl w:val="1"/>
        <w:rPr>
          <w:rFonts w:ascii="仿宋" w:hAnsi="仿宋" w:eastAsia="仿宋"/>
          <w:b/>
          <w:sz w:val="32"/>
          <w:szCs w:val="32"/>
        </w:rPr>
      </w:pPr>
      <w:bookmarkStart w:id="86" w:name="_Toc15377217"/>
      <w:bookmarkStart w:id="87" w:name="_Toc26961"/>
      <w:r>
        <w:rPr>
          <w:rFonts w:hint="eastAsia" w:ascii="仿宋" w:hAnsi="仿宋" w:eastAsia="仿宋"/>
          <w:b/>
          <w:sz w:val="32"/>
          <w:szCs w:val="32"/>
        </w:rPr>
        <w:t>（二）“三公”经费财政拨款支出决算具体情况说明</w:t>
      </w:r>
      <w:bookmarkEnd w:id="86"/>
      <w:bookmarkEnd w:id="87"/>
    </w:p>
    <w:p>
      <w:pPr>
        <w:spacing w:line="600" w:lineRule="exact"/>
        <w:ind w:firstLine="640"/>
        <w:outlineLvl w:val="1"/>
        <w:rPr>
          <w:rFonts w:ascii="仿宋" w:hAnsi="仿宋" w:eastAsia="仿宋"/>
          <w:sz w:val="32"/>
          <w:szCs w:val="32"/>
        </w:rPr>
      </w:pPr>
      <w:bookmarkStart w:id="88" w:name="_Toc17857"/>
      <w:r>
        <w:rPr>
          <w:rFonts w:ascii="仿宋" w:hAnsi="仿宋" w:eastAsia="仿宋"/>
          <w:sz w:val="32"/>
          <w:szCs w:val="32"/>
        </w:rPr>
        <w:t>20</w:t>
      </w:r>
      <w:r>
        <w:rPr>
          <w:rFonts w:hint="eastAsia" w:ascii="仿宋" w:hAnsi="仿宋" w:eastAsia="仿宋"/>
          <w:sz w:val="32"/>
          <w:szCs w:val="32"/>
        </w:rPr>
        <w:t>20年“三公”经费财政拨款支出决算中，因公出国（境）费支出决算0万元，占0</w:t>
      </w:r>
      <w:r>
        <w:rPr>
          <w:rFonts w:ascii="仿宋" w:hAnsi="仿宋" w:eastAsia="仿宋"/>
          <w:sz w:val="32"/>
          <w:szCs w:val="32"/>
        </w:rPr>
        <w:t>%</w:t>
      </w:r>
      <w:r>
        <w:rPr>
          <w:rFonts w:hint="eastAsia" w:ascii="仿宋" w:hAnsi="仿宋" w:eastAsia="仿宋"/>
          <w:sz w:val="32"/>
          <w:szCs w:val="32"/>
        </w:rPr>
        <w:t>；公务用车购置及运行维护费支出决算5.7万元，占98.45</w:t>
      </w:r>
      <w:r>
        <w:rPr>
          <w:rFonts w:ascii="仿宋" w:hAnsi="仿宋" w:eastAsia="仿宋"/>
          <w:sz w:val="32"/>
          <w:szCs w:val="32"/>
        </w:rPr>
        <w:t>%</w:t>
      </w:r>
      <w:r>
        <w:rPr>
          <w:rFonts w:hint="eastAsia" w:ascii="仿宋" w:hAnsi="仿宋" w:eastAsia="仿宋"/>
          <w:sz w:val="32"/>
          <w:szCs w:val="32"/>
        </w:rPr>
        <w:t>；公务接待费支出决算0.09万元，占1.55</w:t>
      </w:r>
      <w:r>
        <w:rPr>
          <w:rFonts w:ascii="仿宋" w:hAnsi="仿宋" w:eastAsia="仿宋"/>
          <w:sz w:val="32"/>
          <w:szCs w:val="32"/>
        </w:rPr>
        <w:t>%</w:t>
      </w:r>
      <w:r>
        <w:rPr>
          <w:rFonts w:hint="eastAsia" w:ascii="仿宋" w:hAnsi="仿宋" w:eastAsia="仿宋"/>
          <w:sz w:val="32"/>
          <w:szCs w:val="32"/>
        </w:rPr>
        <w:t>。具体情况如下：</w:t>
      </w:r>
      <w:bookmarkEnd w:id="88"/>
    </w:p>
    <w:p>
      <w:pPr>
        <w:pStyle w:val="2"/>
        <w:spacing w:before="93"/>
        <w:outlineLvl w:val="1"/>
      </w:pPr>
      <w:bookmarkStart w:id="89" w:name="_Toc21607"/>
      <w:r>
        <w:drawing>
          <wp:inline distT="0" distB="0" distL="114300" distR="114300">
            <wp:extent cx="5105400" cy="2314575"/>
            <wp:effectExtent l="5080" t="4445" r="10160" b="12700"/>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End w:id="89"/>
    </w:p>
    <w:p>
      <w:pPr>
        <w:spacing w:line="600" w:lineRule="exact"/>
        <w:ind w:firstLine="640"/>
        <w:outlineLvl w:val="1"/>
        <w:rPr>
          <w:rFonts w:ascii="仿宋" w:hAnsi="仿宋" w:eastAsia="仿宋"/>
          <w:sz w:val="32"/>
          <w:szCs w:val="32"/>
        </w:rPr>
      </w:pPr>
      <w:bookmarkStart w:id="90" w:name="_Toc30661"/>
      <w:r>
        <w:rPr>
          <w:rFonts w:hint="eastAsia" w:ascii="仿宋" w:hAnsi="仿宋" w:eastAsia="仿宋"/>
          <w:sz w:val="32"/>
          <w:szCs w:val="32"/>
        </w:rPr>
        <w:t>（图7：“三公”经费财政拨款支出结构）（饼状图）</w:t>
      </w:r>
      <w:bookmarkEnd w:id="90"/>
    </w:p>
    <w:p>
      <w:pPr>
        <w:spacing w:line="600" w:lineRule="exact"/>
        <w:ind w:firstLine="640"/>
        <w:outlineLvl w:val="1"/>
        <w:rPr>
          <w:rFonts w:ascii="仿宋_GB2312" w:eastAsia="仿宋_GB2312"/>
          <w:b/>
          <w:sz w:val="32"/>
          <w:szCs w:val="32"/>
        </w:rPr>
      </w:pPr>
      <w:bookmarkStart w:id="91" w:name="_Toc11818"/>
      <w:r>
        <w:rPr>
          <w:rFonts w:ascii="仿宋_GB2312" w:eastAsia="仿宋_GB2312"/>
          <w:b/>
          <w:sz w:val="32"/>
          <w:szCs w:val="32"/>
        </w:rPr>
        <w:t>1.</w:t>
      </w:r>
      <w:r>
        <w:rPr>
          <w:rFonts w:hint="eastAsia" w:ascii="仿宋_GB2312" w:eastAsia="仿宋_GB2312"/>
          <w:b/>
          <w:sz w:val="32"/>
          <w:szCs w:val="32"/>
        </w:rPr>
        <w:t>因公出国（境）经费支出</w:t>
      </w:r>
      <w:r>
        <w:rPr>
          <w:rFonts w:hint="eastAsia" w:ascii="仿宋_GB2312" w:eastAsia="仿宋_GB2312"/>
          <w:sz w:val="32"/>
          <w:szCs w:val="32"/>
        </w:rPr>
        <w:t>0万元，</w:t>
      </w:r>
      <w:r>
        <w:rPr>
          <w:rStyle w:val="14"/>
          <w:rFonts w:hint="eastAsia" w:ascii="仿宋" w:hAnsi="仿宋" w:eastAsia="仿宋"/>
          <w:b w:val="0"/>
          <w:bCs/>
          <w:sz w:val="32"/>
          <w:szCs w:val="32"/>
        </w:rPr>
        <w:t>完成预算0</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全年安排因公出国（境）团组0次，出国（境）0人。因公出国（境）支出决算比</w:t>
      </w:r>
      <w:r>
        <w:rPr>
          <w:rFonts w:ascii="仿宋_GB2312" w:eastAsia="仿宋_GB2312"/>
          <w:sz w:val="32"/>
          <w:szCs w:val="32"/>
        </w:rPr>
        <w:t>201</w:t>
      </w:r>
      <w:r>
        <w:rPr>
          <w:rFonts w:hint="eastAsia" w:ascii="仿宋_GB2312" w:eastAsia="仿宋_GB2312"/>
          <w:sz w:val="32"/>
          <w:szCs w:val="32"/>
        </w:rPr>
        <w:t>9年持平。主要原因是未安排预算。</w:t>
      </w:r>
      <w:bookmarkEnd w:id="91"/>
    </w:p>
    <w:p>
      <w:pPr>
        <w:spacing w:line="600" w:lineRule="exact"/>
        <w:ind w:firstLine="640"/>
        <w:outlineLvl w:val="1"/>
        <w:rPr>
          <w:rFonts w:ascii="仿宋_GB2312" w:eastAsia="仿宋_GB2312"/>
          <w:b/>
          <w:sz w:val="32"/>
          <w:szCs w:val="32"/>
        </w:rPr>
      </w:pPr>
      <w:bookmarkStart w:id="92" w:name="_Toc15921"/>
      <w:r>
        <w:rPr>
          <w:rFonts w:ascii="仿宋_GB2312" w:eastAsia="仿宋_GB2312"/>
          <w:b/>
          <w:sz w:val="32"/>
          <w:szCs w:val="32"/>
        </w:rPr>
        <w:t>2.</w:t>
      </w:r>
      <w:r>
        <w:rPr>
          <w:rFonts w:hint="eastAsia" w:ascii="仿宋_GB2312" w:eastAsia="仿宋_GB2312"/>
          <w:b/>
          <w:sz w:val="32"/>
          <w:szCs w:val="32"/>
        </w:rPr>
        <w:t>公务用车购置及运行维护费支出</w:t>
      </w:r>
      <w:r>
        <w:rPr>
          <w:rFonts w:hint="eastAsia" w:ascii="仿宋" w:hAnsi="仿宋" w:eastAsia="仿宋"/>
          <w:sz w:val="32"/>
          <w:szCs w:val="32"/>
        </w:rPr>
        <w:t>5.7</w:t>
      </w:r>
      <w:r>
        <w:rPr>
          <w:rFonts w:hint="eastAsia" w:ascii="仿宋_GB2312" w:eastAsia="仿宋_GB2312"/>
          <w:sz w:val="32"/>
          <w:szCs w:val="32"/>
        </w:rPr>
        <w:t>万元,</w:t>
      </w:r>
      <w:r>
        <w:rPr>
          <w:rStyle w:val="14"/>
          <w:rFonts w:hint="eastAsia" w:ascii="仿宋" w:hAnsi="仿宋" w:eastAsia="仿宋"/>
          <w:b w:val="0"/>
          <w:bCs/>
          <w:sz w:val="32"/>
          <w:szCs w:val="32"/>
        </w:rPr>
        <w:t>完成预算95</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公务用车购置及运行维护费支出决算比</w:t>
      </w:r>
      <w:r>
        <w:rPr>
          <w:rFonts w:ascii="仿宋_GB2312" w:eastAsia="仿宋_GB2312"/>
          <w:sz w:val="32"/>
          <w:szCs w:val="32"/>
        </w:rPr>
        <w:t>201</w:t>
      </w:r>
      <w:r>
        <w:rPr>
          <w:rFonts w:hint="eastAsia" w:ascii="仿宋_GB2312" w:eastAsia="仿宋_GB2312"/>
          <w:sz w:val="32"/>
          <w:szCs w:val="32"/>
        </w:rPr>
        <w:t>9年减少0.3万元，下降5</w:t>
      </w:r>
      <w:r>
        <w:rPr>
          <w:rFonts w:ascii="仿宋_GB2312" w:eastAsia="仿宋_GB2312"/>
          <w:sz w:val="32"/>
          <w:szCs w:val="32"/>
        </w:rPr>
        <w:t>%</w:t>
      </w:r>
      <w:r>
        <w:rPr>
          <w:rFonts w:hint="eastAsia" w:ascii="仿宋_GB2312" w:eastAsia="仿宋_GB2312"/>
          <w:sz w:val="32"/>
          <w:szCs w:val="32"/>
        </w:rPr>
        <w:t>。主要原因是</w:t>
      </w:r>
      <w:r>
        <w:rPr>
          <w:rFonts w:hint="eastAsia" w:ascii="仿宋_GB2312" w:hAnsi="仿宋" w:eastAsia="仿宋_GB2312"/>
          <w:sz w:val="32"/>
          <w:szCs w:val="32"/>
        </w:rPr>
        <w:t>受疫情影响，公车运行有所减少，运行维护支出相应减少</w:t>
      </w:r>
      <w:r>
        <w:rPr>
          <w:rFonts w:hint="eastAsia" w:ascii="仿宋_GB2312" w:eastAsia="仿宋_GB2312"/>
          <w:sz w:val="32"/>
          <w:szCs w:val="32"/>
        </w:rPr>
        <w:t>。</w:t>
      </w:r>
      <w:bookmarkEnd w:id="92"/>
    </w:p>
    <w:p>
      <w:pPr>
        <w:spacing w:line="600" w:lineRule="exact"/>
        <w:ind w:firstLine="640" w:firstLineChars="200"/>
        <w:outlineLvl w:val="1"/>
        <w:rPr>
          <w:rFonts w:ascii="仿宋" w:hAnsi="仿宋" w:eastAsia="仿宋"/>
          <w:color w:val="000000"/>
          <w:sz w:val="32"/>
          <w:szCs w:val="32"/>
        </w:rPr>
      </w:pPr>
      <w:bookmarkStart w:id="93" w:name="_Toc30309"/>
      <w:r>
        <w:rPr>
          <w:rFonts w:hint="eastAsia" w:ascii="仿宋_GB2312" w:eastAsia="仿宋_GB2312"/>
          <w:sz w:val="32"/>
          <w:szCs w:val="32"/>
        </w:rPr>
        <w:t>其中：</w:t>
      </w:r>
      <w:r>
        <w:rPr>
          <w:rFonts w:hint="eastAsia" w:ascii="仿宋_GB2312" w:eastAsia="仿宋_GB2312"/>
          <w:b/>
          <w:sz w:val="32"/>
          <w:szCs w:val="32"/>
        </w:rPr>
        <w:t>公务用车购置支出</w:t>
      </w:r>
      <w:r>
        <w:rPr>
          <w:rFonts w:hint="eastAsia" w:ascii="仿宋_GB2312" w:eastAsia="仿宋_GB2312"/>
          <w:sz w:val="32"/>
          <w:szCs w:val="32"/>
        </w:rPr>
        <w:t>0万元。全年按规定更新购置公务用车0辆，其中：轿车0辆、金额0万元，越野车0辆、金额0万元，载客汽车0辆、金额0万元。截至</w:t>
      </w:r>
      <w:r>
        <w:rPr>
          <w:rFonts w:ascii="仿宋_GB2312" w:eastAsia="仿宋_GB2312"/>
          <w:sz w:val="32"/>
          <w:szCs w:val="32"/>
        </w:rPr>
        <w:t>20</w:t>
      </w:r>
      <w:r>
        <w:rPr>
          <w:rFonts w:hint="eastAsia" w:ascii="仿宋_GB2312" w:eastAsia="仿宋_GB2312"/>
          <w:sz w:val="32"/>
          <w:szCs w:val="32"/>
        </w:rPr>
        <w:t>20年</w:t>
      </w:r>
      <w:r>
        <w:rPr>
          <w:rFonts w:ascii="仿宋_GB2312" w:eastAsia="仿宋_GB2312"/>
          <w:sz w:val="32"/>
          <w:szCs w:val="32"/>
        </w:rPr>
        <w:t>12</w:t>
      </w:r>
      <w:r>
        <w:rPr>
          <w:rFonts w:hint="eastAsia" w:ascii="仿宋_GB2312" w:eastAsia="仿宋_GB2312"/>
          <w:sz w:val="32"/>
          <w:szCs w:val="32"/>
        </w:rPr>
        <w:t>月底，</w:t>
      </w:r>
      <w:r>
        <w:rPr>
          <w:rFonts w:hint="eastAsia" w:ascii="仿宋" w:hAnsi="仿宋" w:eastAsia="仿宋"/>
          <w:color w:val="000000"/>
          <w:sz w:val="32"/>
          <w:szCs w:val="32"/>
        </w:rPr>
        <w:t>单位共有公务用车5辆，其中：主要领导干部用车0辆、机要通信用车1辆、应急保障用车1辆、离退休干部用车3辆。</w:t>
      </w:r>
      <w:bookmarkEnd w:id="93"/>
    </w:p>
    <w:p>
      <w:pPr>
        <w:spacing w:line="600" w:lineRule="exact"/>
        <w:ind w:firstLine="640"/>
        <w:outlineLvl w:val="1"/>
        <w:rPr>
          <w:rFonts w:ascii="仿宋_GB2312" w:eastAsia="仿宋_GB2312"/>
          <w:sz w:val="32"/>
          <w:szCs w:val="32"/>
        </w:rPr>
      </w:pPr>
      <w:bookmarkStart w:id="94" w:name="_Toc20255"/>
      <w:r>
        <w:rPr>
          <w:rFonts w:hint="eastAsia" w:ascii="仿宋_GB2312" w:eastAsia="仿宋_GB2312"/>
          <w:b/>
          <w:sz w:val="32"/>
          <w:szCs w:val="32"/>
        </w:rPr>
        <w:t>公务用车运行维护费支出</w:t>
      </w:r>
      <w:r>
        <w:rPr>
          <w:rFonts w:hint="eastAsia" w:ascii="仿宋_GB2312" w:eastAsia="仿宋_GB2312"/>
          <w:sz w:val="32"/>
          <w:szCs w:val="32"/>
        </w:rPr>
        <w:t>5.7万元。</w:t>
      </w:r>
      <w:r>
        <w:rPr>
          <w:rFonts w:hint="eastAsia" w:ascii="仿宋" w:hAnsi="仿宋" w:eastAsia="仿宋"/>
          <w:color w:val="000000"/>
          <w:sz w:val="32"/>
          <w:szCs w:val="32"/>
        </w:rPr>
        <w:t>主要用于办公、机要、教学、扶贫、离退休工作</w:t>
      </w:r>
      <w:r>
        <w:rPr>
          <w:rFonts w:hint="eastAsia" w:ascii="仿宋_GB2312" w:eastAsia="仿宋_GB2312"/>
          <w:sz w:val="32"/>
          <w:szCs w:val="32"/>
        </w:rPr>
        <w:t>等所需的公务用车燃料费、维修费、过路过桥费、保险费等支出。</w:t>
      </w:r>
      <w:bookmarkEnd w:id="94"/>
    </w:p>
    <w:p>
      <w:pPr>
        <w:spacing w:line="600" w:lineRule="exact"/>
        <w:ind w:firstLine="640"/>
        <w:outlineLvl w:val="1"/>
        <w:rPr>
          <w:rFonts w:ascii="仿宋_GB2312" w:eastAsia="仿宋_GB2312"/>
          <w:sz w:val="32"/>
          <w:szCs w:val="32"/>
        </w:rPr>
      </w:pPr>
      <w:bookmarkStart w:id="95" w:name="_Toc21087"/>
      <w:r>
        <w:rPr>
          <w:rFonts w:ascii="仿宋_GB2312" w:eastAsia="仿宋_GB2312"/>
          <w:b/>
          <w:sz w:val="32"/>
          <w:szCs w:val="32"/>
        </w:rPr>
        <w:t>3.</w:t>
      </w:r>
      <w:r>
        <w:rPr>
          <w:rFonts w:hint="eastAsia" w:ascii="仿宋_GB2312" w:eastAsia="仿宋_GB2312"/>
          <w:b/>
          <w:sz w:val="32"/>
          <w:szCs w:val="32"/>
        </w:rPr>
        <w:t>公务接待费支出</w:t>
      </w:r>
      <w:r>
        <w:rPr>
          <w:rFonts w:hint="eastAsia" w:ascii="仿宋_GB2312" w:eastAsia="仿宋_GB2312"/>
          <w:sz w:val="32"/>
          <w:szCs w:val="32"/>
        </w:rPr>
        <w:t>0.09万元，</w:t>
      </w:r>
      <w:r>
        <w:rPr>
          <w:rStyle w:val="14"/>
          <w:rFonts w:hint="eastAsia" w:ascii="仿宋" w:hAnsi="仿宋" w:eastAsia="仿宋"/>
          <w:b w:val="0"/>
          <w:bCs/>
          <w:sz w:val="32"/>
          <w:szCs w:val="32"/>
        </w:rPr>
        <w:t>完成预算4.5</w:t>
      </w:r>
      <w:r>
        <w:rPr>
          <w:rStyle w:val="14"/>
          <w:rFonts w:ascii="仿宋" w:hAnsi="仿宋" w:eastAsia="仿宋"/>
          <w:b w:val="0"/>
          <w:bCs/>
          <w:sz w:val="32"/>
          <w:szCs w:val="32"/>
        </w:rPr>
        <w:t>%</w:t>
      </w:r>
      <w:r>
        <w:rPr>
          <w:rStyle w:val="14"/>
          <w:rFonts w:hint="eastAsia" w:ascii="仿宋" w:hAnsi="仿宋" w:eastAsia="仿宋"/>
          <w:b w:val="0"/>
          <w:bCs/>
          <w:sz w:val="32"/>
          <w:szCs w:val="32"/>
        </w:rPr>
        <w:t>。</w:t>
      </w:r>
      <w:r>
        <w:rPr>
          <w:rFonts w:hint="eastAsia" w:ascii="仿宋_GB2312" w:eastAsia="仿宋_GB2312"/>
          <w:sz w:val="32"/>
          <w:szCs w:val="32"/>
        </w:rPr>
        <w:t>公务接待费支出决算比</w:t>
      </w:r>
      <w:r>
        <w:rPr>
          <w:rFonts w:ascii="仿宋_GB2312" w:eastAsia="仿宋_GB2312"/>
          <w:sz w:val="32"/>
          <w:szCs w:val="32"/>
        </w:rPr>
        <w:t>201</w:t>
      </w:r>
      <w:r>
        <w:rPr>
          <w:rFonts w:hint="eastAsia" w:ascii="仿宋_GB2312" w:eastAsia="仿宋_GB2312"/>
          <w:sz w:val="32"/>
          <w:szCs w:val="32"/>
        </w:rPr>
        <w:t>9年减少0.18万元，下降66.67</w:t>
      </w:r>
      <w:r>
        <w:rPr>
          <w:rFonts w:ascii="仿宋_GB2312" w:eastAsia="仿宋_GB2312"/>
          <w:sz w:val="32"/>
          <w:szCs w:val="32"/>
        </w:rPr>
        <w:t>%</w:t>
      </w:r>
      <w:r>
        <w:rPr>
          <w:rFonts w:hint="eastAsia" w:ascii="仿宋_GB2312" w:eastAsia="仿宋_GB2312"/>
          <w:sz w:val="32"/>
          <w:szCs w:val="32"/>
        </w:rPr>
        <w:t>。主要原因是</w:t>
      </w:r>
      <w:r>
        <w:rPr>
          <w:rFonts w:hint="eastAsia" w:ascii="仿宋_GB2312" w:hAnsi="仿宋" w:eastAsia="仿宋_GB2312"/>
          <w:color w:val="000000" w:themeColor="text1"/>
          <w:sz w:val="32"/>
          <w:szCs w:val="32"/>
          <w14:textFill>
            <w14:solidFill>
              <w14:schemeClr w14:val="tx1"/>
            </w14:solidFill>
          </w14:textFill>
        </w:rPr>
        <w:t>受疫情影响，接待任务减少，故接待费支出减少。</w:t>
      </w:r>
      <w:r>
        <w:rPr>
          <w:rFonts w:hint="eastAsia" w:ascii="仿宋_GB2312" w:eastAsia="仿宋_GB2312"/>
          <w:sz w:val="32"/>
          <w:szCs w:val="32"/>
        </w:rPr>
        <w:t>其中：</w:t>
      </w:r>
      <w:bookmarkEnd w:id="95"/>
    </w:p>
    <w:p>
      <w:pPr>
        <w:spacing w:line="600" w:lineRule="exact"/>
        <w:ind w:firstLine="640"/>
        <w:outlineLvl w:val="1"/>
        <w:rPr>
          <w:rFonts w:ascii="仿宋_GB2312" w:eastAsia="仿宋_GB2312"/>
          <w:sz w:val="32"/>
          <w:szCs w:val="32"/>
        </w:rPr>
      </w:pPr>
      <w:bookmarkStart w:id="96" w:name="_Toc11266"/>
      <w:r>
        <w:rPr>
          <w:rFonts w:hint="eastAsia" w:ascii="仿宋" w:hAnsi="仿宋" w:eastAsia="仿宋"/>
          <w:b/>
          <w:sz w:val="32"/>
          <w:szCs w:val="32"/>
        </w:rPr>
        <w:t>国内公务接待支出</w:t>
      </w:r>
      <w:r>
        <w:rPr>
          <w:rFonts w:hint="eastAsia" w:ascii="仿宋" w:hAnsi="仿宋" w:eastAsia="仿宋"/>
          <w:sz w:val="32"/>
          <w:szCs w:val="32"/>
        </w:rPr>
        <w:t>0.09</w:t>
      </w:r>
      <w:r>
        <w:rPr>
          <w:rFonts w:hint="eastAsia" w:ascii="仿宋_GB2312" w:eastAsia="仿宋_GB2312"/>
          <w:sz w:val="32"/>
          <w:szCs w:val="32"/>
        </w:rPr>
        <w:t>万元，</w:t>
      </w:r>
      <w:r>
        <w:rPr>
          <w:rFonts w:hint="eastAsia" w:ascii="仿宋" w:hAnsi="仿宋" w:eastAsia="仿宋"/>
          <w:color w:val="000000"/>
          <w:sz w:val="32"/>
          <w:szCs w:val="32"/>
        </w:rPr>
        <w:t>主要用于</w:t>
      </w:r>
      <w:r>
        <w:rPr>
          <w:rFonts w:hint="eastAsia" w:ascii="仿宋" w:hAnsi="仿宋" w:eastAsia="仿宋"/>
          <w:sz w:val="32"/>
          <w:szCs w:val="32"/>
        </w:rPr>
        <w:t>党校系统内其他省市来我校开展调研学习</w:t>
      </w:r>
      <w:r>
        <w:rPr>
          <w:rFonts w:hint="eastAsia" w:ascii="仿宋" w:hAnsi="仿宋" w:eastAsia="仿宋"/>
          <w:color w:val="000000"/>
          <w:sz w:val="32"/>
          <w:szCs w:val="32"/>
        </w:rPr>
        <w:t>开支的餐费。</w:t>
      </w:r>
      <w:r>
        <w:rPr>
          <w:rFonts w:hint="eastAsia" w:ascii="仿宋_GB2312" w:eastAsia="仿宋_GB2312"/>
          <w:sz w:val="32"/>
          <w:szCs w:val="32"/>
        </w:rPr>
        <w:t>国内公务接待1批次，8人次（不包括陪同人员），共计支出0.09万元，具体内容包括：接待乐山市委党校来我校调研期刊出版发行、管理运营等情况餐费0.09万元。</w:t>
      </w:r>
      <w:bookmarkEnd w:id="96"/>
    </w:p>
    <w:p>
      <w:pPr>
        <w:spacing w:line="600" w:lineRule="exact"/>
        <w:ind w:firstLine="643" w:firstLineChars="200"/>
        <w:outlineLvl w:val="1"/>
        <w:rPr>
          <w:rFonts w:ascii="黑体" w:eastAsia="黑体"/>
          <w:sz w:val="32"/>
          <w:szCs w:val="32"/>
        </w:rPr>
      </w:pPr>
      <w:bookmarkStart w:id="97" w:name="_Toc4580"/>
      <w:r>
        <w:rPr>
          <w:rFonts w:hint="eastAsia" w:ascii="仿宋" w:hAnsi="仿宋" w:eastAsia="仿宋"/>
          <w:b/>
          <w:sz w:val="32"/>
          <w:szCs w:val="32"/>
        </w:rPr>
        <w:t>外事接待支出</w:t>
      </w:r>
      <w:r>
        <w:rPr>
          <w:rFonts w:hint="eastAsia" w:ascii="仿宋" w:hAnsi="仿宋" w:eastAsia="仿宋"/>
          <w:sz w:val="32"/>
          <w:szCs w:val="32"/>
        </w:rPr>
        <w:t>0</w:t>
      </w:r>
      <w:r>
        <w:rPr>
          <w:rFonts w:hint="eastAsia" w:ascii="仿宋_GB2312" w:eastAsia="仿宋_GB2312"/>
          <w:sz w:val="32"/>
          <w:szCs w:val="32"/>
        </w:rPr>
        <w:t>万元，外事接待0批次，0人，共计支出0万元。</w:t>
      </w:r>
      <w:bookmarkEnd w:id="97"/>
      <w:bookmarkStart w:id="98" w:name="_Toc15396610"/>
      <w:bookmarkStart w:id="99" w:name="_Toc15377218"/>
    </w:p>
    <w:p>
      <w:pPr>
        <w:spacing w:line="600" w:lineRule="exact"/>
        <w:ind w:firstLine="640"/>
        <w:outlineLvl w:val="1"/>
        <w:rPr>
          <w:rStyle w:val="25"/>
          <w:rFonts w:ascii="黑体" w:hAnsi="黑体" w:eastAsia="黑体"/>
        </w:rPr>
      </w:pPr>
      <w:bookmarkStart w:id="100" w:name="_Toc28948"/>
      <w:r>
        <w:rPr>
          <w:rFonts w:hint="eastAsia" w:ascii="黑体" w:eastAsia="黑体"/>
          <w:sz w:val="32"/>
          <w:szCs w:val="32"/>
        </w:rPr>
        <w:t>八、</w:t>
      </w:r>
      <w:r>
        <w:rPr>
          <w:rStyle w:val="25"/>
          <w:rFonts w:hint="eastAsia" w:ascii="黑体" w:hAnsi="黑体" w:eastAsia="黑体"/>
          <w:b w:val="0"/>
        </w:rPr>
        <w:t>政府性基金预算支出决算情况说明</w:t>
      </w:r>
      <w:bookmarkEnd w:id="98"/>
      <w:bookmarkEnd w:id="99"/>
      <w:bookmarkEnd w:id="100"/>
    </w:p>
    <w:p>
      <w:pPr>
        <w:spacing w:line="600" w:lineRule="exact"/>
        <w:ind w:firstLine="640"/>
        <w:outlineLvl w:val="1"/>
        <w:rPr>
          <w:rFonts w:ascii="仿宋_GB2312" w:eastAsia="仿宋_GB2312"/>
          <w:sz w:val="32"/>
          <w:szCs w:val="32"/>
        </w:rPr>
      </w:pPr>
      <w:bookmarkStart w:id="101" w:name="_Toc9585"/>
      <w:r>
        <w:rPr>
          <w:rFonts w:ascii="仿宋_GB2312" w:eastAsia="仿宋_GB2312"/>
          <w:sz w:val="32"/>
          <w:szCs w:val="32"/>
        </w:rPr>
        <w:t>20</w:t>
      </w:r>
      <w:r>
        <w:rPr>
          <w:rFonts w:hint="eastAsia" w:ascii="仿宋_GB2312" w:eastAsia="仿宋_GB2312"/>
          <w:sz w:val="32"/>
          <w:szCs w:val="32"/>
        </w:rPr>
        <w:t>20年政府性基金预算财政拨款支出0万元。</w:t>
      </w:r>
      <w:bookmarkEnd w:id="101"/>
    </w:p>
    <w:p>
      <w:pPr>
        <w:spacing w:line="600" w:lineRule="exact"/>
        <w:ind w:firstLine="640" w:firstLineChars="200"/>
        <w:outlineLvl w:val="1"/>
        <w:rPr>
          <w:rStyle w:val="25"/>
          <w:rFonts w:ascii="黑体" w:hAnsi="黑体" w:eastAsia="黑体"/>
          <w:b w:val="0"/>
        </w:rPr>
      </w:pPr>
      <w:bookmarkStart w:id="102" w:name="_Toc15396611"/>
      <w:bookmarkStart w:id="103" w:name="_Toc15377219"/>
      <w:bookmarkStart w:id="104" w:name="_Toc17730"/>
      <w:r>
        <w:rPr>
          <w:rStyle w:val="25"/>
          <w:rFonts w:hint="eastAsia" w:ascii="黑体" w:hAnsi="黑体" w:eastAsia="黑体"/>
          <w:b w:val="0"/>
        </w:rPr>
        <w:t>九、国有资本经营预算支出决算情况说明</w:t>
      </w:r>
      <w:bookmarkEnd w:id="102"/>
      <w:bookmarkEnd w:id="103"/>
      <w:bookmarkEnd w:id="104"/>
    </w:p>
    <w:p>
      <w:pPr>
        <w:spacing w:line="600" w:lineRule="exact"/>
        <w:ind w:firstLine="640"/>
        <w:outlineLvl w:val="1"/>
        <w:rPr>
          <w:rFonts w:ascii="方正小标宋简体" w:hAnsi="方正小标宋简体" w:eastAsia="方正小标宋简体" w:cs="方正小标宋简体"/>
          <w:sz w:val="44"/>
          <w:szCs w:val="44"/>
        </w:rPr>
      </w:pPr>
      <w:bookmarkStart w:id="105" w:name="_Toc22275"/>
      <w:r>
        <w:rPr>
          <w:rFonts w:ascii="仿宋_GB2312" w:eastAsia="仿宋_GB2312"/>
          <w:sz w:val="32"/>
          <w:szCs w:val="32"/>
        </w:rPr>
        <w:t>20</w:t>
      </w:r>
      <w:r>
        <w:rPr>
          <w:rFonts w:hint="eastAsia" w:ascii="仿宋_GB2312" w:eastAsia="仿宋_GB2312"/>
          <w:sz w:val="32"/>
          <w:szCs w:val="32"/>
        </w:rPr>
        <w:t>20年国有资本经营预算财政拨款支出0万元。</w:t>
      </w:r>
      <w:bookmarkEnd w:id="105"/>
    </w:p>
    <w:p>
      <w:pPr>
        <w:spacing w:line="600" w:lineRule="exact"/>
        <w:ind w:firstLine="640" w:firstLineChars="200"/>
        <w:outlineLvl w:val="1"/>
        <w:rPr>
          <w:rStyle w:val="25"/>
          <w:rFonts w:ascii="黑体" w:hAnsi="黑体" w:eastAsia="黑体"/>
          <w:b w:val="0"/>
        </w:rPr>
      </w:pPr>
      <w:bookmarkStart w:id="106" w:name="_Toc15396612"/>
      <w:bookmarkStart w:id="107" w:name="_Toc15377221"/>
      <w:bookmarkStart w:id="108" w:name="_Toc5716"/>
      <w:r>
        <w:rPr>
          <w:rStyle w:val="25"/>
          <w:rFonts w:hint="eastAsia" w:ascii="黑体" w:hAnsi="黑体" w:eastAsia="黑体"/>
          <w:b w:val="0"/>
        </w:rPr>
        <w:t>十、其他重要事项的情况说明</w:t>
      </w:r>
      <w:bookmarkEnd w:id="106"/>
      <w:bookmarkEnd w:id="107"/>
      <w:bookmarkEnd w:id="108"/>
    </w:p>
    <w:p>
      <w:pPr>
        <w:spacing w:line="600" w:lineRule="exact"/>
        <w:ind w:firstLine="643" w:firstLineChars="200"/>
        <w:outlineLvl w:val="1"/>
        <w:rPr>
          <w:rFonts w:ascii="仿宋" w:hAnsi="仿宋" w:eastAsia="仿宋"/>
          <w:sz w:val="32"/>
          <w:szCs w:val="32"/>
        </w:rPr>
      </w:pPr>
      <w:bookmarkStart w:id="109" w:name="_Toc15377222"/>
      <w:bookmarkStart w:id="110" w:name="_Toc25110"/>
      <w:r>
        <w:rPr>
          <w:rFonts w:hint="eastAsia" w:ascii="仿宋" w:hAnsi="仿宋" w:eastAsia="仿宋"/>
          <w:b/>
          <w:sz w:val="32"/>
          <w:szCs w:val="32"/>
        </w:rPr>
        <w:t>（一）机关运行经费支出情况</w:t>
      </w:r>
      <w:bookmarkEnd w:id="109"/>
      <w:bookmarkEnd w:id="110"/>
    </w:p>
    <w:p>
      <w:pPr>
        <w:pStyle w:val="2"/>
        <w:spacing w:before="93"/>
        <w:ind w:firstLine="640" w:firstLineChars="200"/>
        <w:outlineLvl w:val="1"/>
      </w:pPr>
      <w:bookmarkStart w:id="111" w:name="_Toc27486"/>
      <w:r>
        <w:rPr>
          <w:sz w:val="32"/>
          <w:szCs w:val="32"/>
        </w:rPr>
        <w:t>20</w:t>
      </w:r>
      <w:r>
        <w:rPr>
          <w:rFonts w:hint="eastAsia"/>
          <w:sz w:val="32"/>
          <w:szCs w:val="32"/>
        </w:rPr>
        <w:t>20年，中共委省直机关党校机关运行经费支出499.85万元，比</w:t>
      </w:r>
      <w:r>
        <w:rPr>
          <w:sz w:val="32"/>
          <w:szCs w:val="32"/>
        </w:rPr>
        <w:t>201</w:t>
      </w:r>
      <w:r>
        <w:rPr>
          <w:rFonts w:hint="eastAsia"/>
          <w:sz w:val="32"/>
          <w:szCs w:val="32"/>
        </w:rPr>
        <w:t>9年减少80.3万元，下降13.84</w:t>
      </w:r>
      <w:r>
        <w:rPr>
          <w:sz w:val="32"/>
          <w:szCs w:val="32"/>
        </w:rPr>
        <w:t>%</w:t>
      </w:r>
      <w:r>
        <w:rPr>
          <w:rFonts w:hint="eastAsia"/>
          <w:sz w:val="32"/>
          <w:szCs w:val="32"/>
        </w:rPr>
        <w:t>。主要原因是</w:t>
      </w:r>
      <w:r>
        <w:rPr>
          <w:rFonts w:hint="eastAsia" w:hAnsi="仿宋"/>
          <w:color w:val="000000" w:themeColor="text1"/>
          <w:sz w:val="32"/>
          <w:szCs w:val="32"/>
          <w14:textFill>
            <w14:solidFill>
              <w14:schemeClr w14:val="tx1"/>
            </w14:solidFill>
          </w14:textFill>
        </w:rPr>
        <w:t>按财政压减一般性支出的要求，我校减少了会议、培训等一般性支出</w:t>
      </w:r>
      <w:r>
        <w:rPr>
          <w:rFonts w:hint="eastAsia" w:hAnsi="仿宋" w:cs="仿宋"/>
          <w:bCs/>
          <w:color w:val="000000" w:themeColor="text1"/>
          <w:sz w:val="32"/>
          <w:szCs w:val="32"/>
          <w14:textFill>
            <w14:solidFill>
              <w14:schemeClr w14:val="tx1"/>
            </w14:solidFill>
          </w14:textFill>
        </w:rPr>
        <w:t>。</w:t>
      </w:r>
      <w:bookmarkEnd w:id="111"/>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2" w:name="_Toc15377223"/>
      <w:bookmarkStart w:id="113" w:name="_Toc10177"/>
      <w:r>
        <w:rPr>
          <w:rFonts w:hint="eastAsia" w:ascii="仿宋" w:hAnsi="仿宋" w:eastAsia="仿宋"/>
          <w:b/>
          <w:sz w:val="32"/>
          <w:szCs w:val="32"/>
        </w:rPr>
        <w:t>（二）政府采购支出情况</w:t>
      </w:r>
      <w:bookmarkEnd w:id="112"/>
      <w:bookmarkEnd w:id="113"/>
    </w:p>
    <w:p>
      <w:pPr>
        <w:spacing w:line="600" w:lineRule="exact"/>
        <w:ind w:firstLine="640" w:firstLineChars="200"/>
        <w:outlineLvl w:val="1"/>
        <w:rPr>
          <w:rFonts w:ascii="仿宋_GB2312" w:eastAsia="仿宋_GB2312"/>
          <w:sz w:val="32"/>
          <w:szCs w:val="32"/>
        </w:rPr>
      </w:pPr>
      <w:bookmarkStart w:id="114" w:name="_Toc13184"/>
      <w:r>
        <w:rPr>
          <w:rFonts w:ascii="仿宋_GB2312" w:eastAsia="仿宋_GB2312"/>
          <w:sz w:val="32"/>
          <w:szCs w:val="32"/>
        </w:rPr>
        <w:t>20</w:t>
      </w:r>
      <w:r>
        <w:rPr>
          <w:rFonts w:hint="eastAsia" w:ascii="仿宋_GB2312" w:eastAsia="仿宋_GB2312"/>
          <w:sz w:val="32"/>
          <w:szCs w:val="32"/>
        </w:rPr>
        <w:t>20年，中共委省直机关党校政府采购支出总额1,330.09万元，其中：政府采购货物支出284.63万元、政府采购工程支出228.9万元、政府采购服务支出816.56万元。主要用于</w:t>
      </w:r>
      <w:r>
        <w:rPr>
          <w:rFonts w:hint="eastAsia" w:ascii="仿宋" w:hAnsi="仿宋" w:eastAsia="仿宋"/>
          <w:color w:val="000000"/>
          <w:sz w:val="32"/>
          <w:szCs w:val="32"/>
        </w:rPr>
        <w:t>智慧校园建设、采购物管服务、采购学员食堂食材、购买办公设备设施等</w:t>
      </w:r>
      <w:r>
        <w:rPr>
          <w:rFonts w:hint="eastAsia" w:ascii="仿宋_GB2312" w:eastAsia="仿宋_GB2312"/>
          <w:sz w:val="32"/>
          <w:szCs w:val="32"/>
        </w:rPr>
        <w:t>。授予中小企业合同金额1,130.91万元，占政府采购支出总额的85.03</w:t>
      </w:r>
      <w:r>
        <w:rPr>
          <w:rFonts w:ascii="仿宋_GB2312" w:eastAsia="仿宋_GB2312"/>
          <w:sz w:val="32"/>
          <w:szCs w:val="32"/>
        </w:rPr>
        <w:t>%</w:t>
      </w:r>
      <w:r>
        <w:rPr>
          <w:rFonts w:hint="eastAsia" w:ascii="仿宋_GB2312" w:eastAsia="仿宋_GB2312"/>
          <w:sz w:val="32"/>
          <w:szCs w:val="32"/>
        </w:rPr>
        <w:t>，其中：授予小微企业合同金额0万元，占政府采购支出总额的0</w:t>
      </w:r>
      <w:r>
        <w:rPr>
          <w:rFonts w:ascii="仿宋_GB2312" w:eastAsia="仿宋_GB2312"/>
          <w:sz w:val="32"/>
          <w:szCs w:val="32"/>
        </w:rPr>
        <w:t>%</w:t>
      </w:r>
      <w:r>
        <w:rPr>
          <w:rFonts w:hint="eastAsia" w:ascii="仿宋_GB2312" w:eastAsia="仿宋_GB2312"/>
          <w:sz w:val="32"/>
          <w:szCs w:val="32"/>
        </w:rPr>
        <w:t>。</w:t>
      </w:r>
      <w:bookmarkEnd w:id="114"/>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5" w:name="_Toc15377224"/>
      <w:bookmarkStart w:id="116" w:name="_Toc183"/>
      <w:r>
        <w:rPr>
          <w:rFonts w:hint="eastAsia" w:ascii="仿宋" w:hAnsi="仿宋" w:eastAsia="仿宋"/>
          <w:b/>
          <w:sz w:val="32"/>
          <w:szCs w:val="32"/>
        </w:rPr>
        <w:t>（三）国有资产占有使用情况</w:t>
      </w:r>
      <w:bookmarkEnd w:id="115"/>
      <w:bookmarkEnd w:id="116"/>
    </w:p>
    <w:p>
      <w:pPr>
        <w:autoSpaceDE w:val="0"/>
        <w:autoSpaceDN w:val="0"/>
        <w:adjustRightInd w:val="0"/>
        <w:spacing w:line="600" w:lineRule="exact"/>
        <w:ind w:firstLine="640" w:firstLineChars="200"/>
        <w:outlineLvl w:val="1"/>
        <w:rPr>
          <w:rFonts w:ascii="仿宋_GB2312" w:eastAsia="仿宋_GB2312"/>
          <w:sz w:val="32"/>
          <w:szCs w:val="32"/>
        </w:rPr>
      </w:pPr>
      <w:bookmarkStart w:id="117" w:name="_Toc24633"/>
      <w:r>
        <w:rPr>
          <w:rFonts w:hint="eastAsia" w:ascii="仿宋_GB2312" w:eastAsia="仿宋_GB2312"/>
          <w:sz w:val="32"/>
          <w:szCs w:val="32"/>
        </w:rPr>
        <w:t>截至</w:t>
      </w:r>
      <w:r>
        <w:rPr>
          <w:rFonts w:ascii="仿宋_GB2312" w:eastAsia="仿宋_GB2312"/>
          <w:sz w:val="32"/>
          <w:szCs w:val="32"/>
        </w:rPr>
        <w:t>20</w:t>
      </w:r>
      <w:r>
        <w:rPr>
          <w:rFonts w:hint="eastAsia" w:ascii="仿宋_GB2312" w:eastAsia="仿宋_GB2312"/>
          <w:sz w:val="32"/>
          <w:szCs w:val="32"/>
        </w:rPr>
        <w:t>20年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日，我校共有车辆5辆，其中：主要领导干部用车0辆、</w:t>
      </w:r>
      <w:r>
        <w:rPr>
          <w:rFonts w:hint="eastAsia" w:ascii="仿宋" w:hAnsi="仿宋" w:eastAsia="仿宋"/>
          <w:color w:val="000000"/>
          <w:sz w:val="32"/>
          <w:szCs w:val="32"/>
        </w:rPr>
        <w:t>机要通信用车1辆、应急保障用车1辆、</w:t>
      </w:r>
      <w:r>
        <w:rPr>
          <w:rFonts w:hint="eastAsia" w:ascii="仿宋_GB2312" w:eastAsia="仿宋_GB2312"/>
          <w:sz w:val="32"/>
          <w:szCs w:val="32"/>
        </w:rPr>
        <w:t>其他用车3辆、其他用车主要是</w:t>
      </w:r>
      <w:r>
        <w:rPr>
          <w:rFonts w:hint="eastAsia" w:ascii="仿宋" w:hAnsi="仿宋" w:eastAsia="仿宋"/>
          <w:color w:val="000000"/>
          <w:sz w:val="32"/>
          <w:szCs w:val="32"/>
        </w:rPr>
        <w:t>离退休干部用车。</w:t>
      </w:r>
      <w:r>
        <w:rPr>
          <w:rFonts w:hint="eastAsia" w:ascii="仿宋_GB2312" w:eastAsia="仿宋_GB2312"/>
          <w:sz w:val="32"/>
          <w:szCs w:val="32"/>
        </w:rPr>
        <w:t>单价</w:t>
      </w:r>
      <w:r>
        <w:rPr>
          <w:rFonts w:ascii="仿宋_GB2312" w:eastAsia="仿宋_GB2312"/>
          <w:sz w:val="32"/>
          <w:szCs w:val="32"/>
        </w:rPr>
        <w:t>50</w:t>
      </w:r>
      <w:r>
        <w:rPr>
          <w:rFonts w:hint="eastAsia" w:ascii="仿宋_GB2312" w:eastAsia="仿宋_GB2312"/>
          <w:sz w:val="32"/>
          <w:szCs w:val="32"/>
        </w:rPr>
        <w:t>万元以上通用设备1台（套），单价</w:t>
      </w:r>
      <w:r>
        <w:rPr>
          <w:rFonts w:ascii="仿宋_GB2312" w:eastAsia="仿宋_GB2312"/>
          <w:sz w:val="32"/>
          <w:szCs w:val="32"/>
        </w:rPr>
        <w:t>100</w:t>
      </w:r>
      <w:r>
        <w:rPr>
          <w:rFonts w:hint="eastAsia" w:ascii="仿宋_GB2312" w:eastAsia="仿宋_GB2312"/>
          <w:sz w:val="32"/>
          <w:szCs w:val="32"/>
        </w:rPr>
        <w:t>万元以上专用设备0台（套）。</w:t>
      </w:r>
      <w:bookmarkEnd w:id="117"/>
    </w:p>
    <w:p>
      <w:pPr>
        <w:autoSpaceDE w:val="0"/>
        <w:autoSpaceDN w:val="0"/>
        <w:adjustRightInd w:val="0"/>
        <w:spacing w:line="600" w:lineRule="exact"/>
        <w:ind w:firstLine="643" w:firstLineChars="200"/>
        <w:jc w:val="left"/>
        <w:outlineLvl w:val="1"/>
        <w:rPr>
          <w:rFonts w:ascii="仿宋" w:hAnsi="仿宋" w:eastAsia="仿宋"/>
          <w:b/>
          <w:sz w:val="32"/>
          <w:szCs w:val="32"/>
        </w:rPr>
      </w:pPr>
      <w:bookmarkStart w:id="118" w:name="_Toc3595"/>
      <w:r>
        <w:rPr>
          <w:rFonts w:hint="eastAsia" w:ascii="仿宋" w:hAnsi="仿宋" w:eastAsia="仿宋"/>
          <w:b/>
          <w:sz w:val="32"/>
          <w:szCs w:val="32"/>
        </w:rPr>
        <w:t>（四）预算绩效管理情况</w:t>
      </w:r>
      <w:bookmarkEnd w:id="118"/>
    </w:p>
    <w:p>
      <w:pPr>
        <w:spacing w:line="580" w:lineRule="exact"/>
        <w:ind w:firstLine="640" w:firstLineChars="200"/>
        <w:outlineLvl w:val="1"/>
        <w:rPr>
          <w:rFonts w:ascii="仿宋_GB2312" w:hAnsi="仿宋_GB2312" w:eastAsia="仿宋_GB2312" w:cs="仿宋_GB2312"/>
          <w:sz w:val="32"/>
          <w:szCs w:val="32"/>
        </w:rPr>
      </w:pPr>
      <w:bookmarkStart w:id="119" w:name="_Toc9489"/>
      <w:r>
        <w:rPr>
          <w:rFonts w:hint="eastAsia" w:ascii="仿宋_GB2312" w:hAnsi="仿宋_GB2312" w:eastAsia="仿宋_GB2312" w:cs="仿宋_GB2312"/>
          <w:sz w:val="32"/>
          <w:szCs w:val="32"/>
        </w:rPr>
        <w:t>根据预算绩效管理要求，本部门在2020年度预算编制阶段，组织对“学历教育、干部培训及食宿补助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、“信息化建设及运行维护费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设备购置经费”、“科研和学科建设费”、“新校区建设”项目开展了预算事前绩效评估，对5个项目编制了绩效目标，预算执行过程中，选取5个项目开展绩效监控，年终执行完毕后，对5个项目开展了绩效目标完成情况自评。</w:t>
      </w:r>
      <w:bookmarkEnd w:id="119"/>
    </w:p>
    <w:p>
      <w:pPr>
        <w:widowControl/>
        <w:adjustRightInd w:val="0"/>
        <w:snapToGrid w:val="0"/>
        <w:spacing w:line="640" w:lineRule="exact"/>
        <w:ind w:firstLine="720"/>
        <w:rPr>
          <w:rFonts w:ascii="仿宋_GB2312" w:hAnsi="仿宋_GB2312" w:eastAsia="仿宋_GB2312" w:cs="仿宋_GB2312"/>
          <w:sz w:val="32"/>
          <w:szCs w:val="32"/>
        </w:rPr>
      </w:pPr>
      <w:bookmarkStart w:id="120" w:name="_Toc16559"/>
      <w:r>
        <w:rPr>
          <w:rFonts w:hint="eastAsia" w:ascii="仿宋_GB2312" w:hAnsi="仿宋_GB2312" w:eastAsia="仿宋_GB2312" w:cs="仿宋_GB2312"/>
          <w:sz w:val="32"/>
          <w:szCs w:val="32"/>
        </w:rPr>
        <w:t>本部门按要求对2020年部门整体支出开展绩效自评，从评价情况来看</w:t>
      </w:r>
      <w:r>
        <w:rPr>
          <w:rFonts w:ascii="仿宋_GB2312" w:hAnsi="仿宋_GB2312" w:eastAsia="仿宋_GB2312" w:cs="仿宋_GB2312"/>
          <w:sz w:val="32"/>
          <w:szCs w:val="32"/>
        </w:rPr>
        <w:t>我校20</w:t>
      </w:r>
      <w:r>
        <w:rPr>
          <w:rFonts w:hint="eastAsia" w:ascii="仿宋_GB2312" w:hAnsi="仿宋_GB2312" w:eastAsia="仿宋_GB2312" w:cs="仿宋_GB2312"/>
          <w:sz w:val="32"/>
          <w:szCs w:val="32"/>
        </w:rPr>
        <w:t>20</w:t>
      </w:r>
      <w:r>
        <w:rPr>
          <w:rFonts w:ascii="仿宋_GB2312" w:hAnsi="仿宋_GB2312" w:eastAsia="仿宋_GB2312" w:cs="仿宋_GB2312"/>
          <w:sz w:val="32"/>
          <w:szCs w:val="32"/>
        </w:rPr>
        <w:t>年预算编报依据充分、程序规范、项目细化、绩效设置细化完整，与部门职责和年度工作重点相符。预算支出严格按照财政厅批复的预算执行，并结合学校实际，根据各项目资金的不同特性，采取相应的措施和办法，督促加快预算执行进度，确保教学、科研资金的落实到位，切实提高了财政资金使用绩效。预算经费在保障我校各项工作有序进行、履行干部培训职能和促进科学研究等方面发挥了重要作用，取得了较好的经济效益和社会效益。</w:t>
      </w:r>
      <w:r>
        <w:rPr>
          <w:rFonts w:hint="eastAsia" w:ascii="仿宋_GB2312" w:hAnsi="仿宋_GB2312" w:eastAsia="仿宋_GB2312" w:cs="仿宋_GB2312"/>
          <w:sz w:val="32"/>
          <w:szCs w:val="32"/>
        </w:rPr>
        <w:t>本部门还自行组织了5个项目支出绩效评价，从评价情况来看5个项目都基本完成了年初设定的绩效目标，个别项目绩效目标在年度执行中进行了调整，项目绩效编制还存在着</w:t>
      </w:r>
      <w:r>
        <w:rPr>
          <w:rFonts w:ascii="仿宋_GB2312" w:hAnsi="仿宋_GB2312" w:eastAsia="仿宋_GB2312" w:cs="仿宋_GB2312"/>
          <w:sz w:val="32"/>
          <w:szCs w:val="32"/>
        </w:rPr>
        <w:t>绩效</w:t>
      </w:r>
      <w:r>
        <w:rPr>
          <w:rFonts w:hint="eastAsia" w:ascii="仿宋_GB2312" w:hAnsi="仿宋_GB2312" w:eastAsia="仿宋_GB2312" w:cs="仿宋_GB2312"/>
          <w:sz w:val="32"/>
          <w:szCs w:val="32"/>
        </w:rPr>
        <w:t>目标量化指标不够精确；绩效项目预算不够精确；</w:t>
      </w:r>
      <w:r>
        <w:rPr>
          <w:rFonts w:ascii="仿宋_GB2312" w:hAnsi="仿宋_GB2312" w:eastAsia="仿宋_GB2312" w:cs="仿宋_GB2312"/>
          <w:sz w:val="32"/>
          <w:szCs w:val="32"/>
        </w:rPr>
        <w:t>绩效监控管理的力度还需进一步加大，</w:t>
      </w:r>
      <w:r>
        <w:rPr>
          <w:rFonts w:hint="eastAsia" w:ascii="仿宋_GB2312" w:hAnsi="仿宋_GB2312" w:eastAsia="仿宋_GB2312" w:cs="仿宋_GB2312"/>
          <w:sz w:val="32"/>
          <w:szCs w:val="32"/>
        </w:rPr>
        <w:t>与财政部门的沟通衔接还需进一步加强，</w:t>
      </w:r>
      <w:r>
        <w:rPr>
          <w:rFonts w:ascii="仿宋_GB2312" w:hAnsi="仿宋_GB2312" w:eastAsia="仿宋_GB2312" w:cs="仿宋_GB2312"/>
          <w:sz w:val="32"/>
          <w:szCs w:val="32"/>
        </w:rPr>
        <w:t>监控结果应用于预算动态调整</w:t>
      </w:r>
      <w:r>
        <w:rPr>
          <w:rFonts w:hint="eastAsia" w:ascii="仿宋_GB2312" w:hAnsi="仿宋_GB2312" w:eastAsia="仿宋_GB2312" w:cs="仿宋_GB2312"/>
          <w:sz w:val="32"/>
          <w:szCs w:val="32"/>
        </w:rPr>
        <w:t>落实程度不够</w:t>
      </w:r>
      <w:r>
        <w:rPr>
          <w:rFonts w:ascii="仿宋_GB2312" w:hAnsi="仿宋_GB2312" w:eastAsia="仿宋_GB2312" w:cs="仿宋_GB2312"/>
          <w:sz w:val="32"/>
          <w:szCs w:val="32"/>
        </w:rPr>
        <w:t>。</w:t>
      </w:r>
      <w:bookmarkEnd w:id="120"/>
    </w:p>
    <w:p>
      <w:pPr>
        <w:spacing w:line="580" w:lineRule="exact"/>
        <w:ind w:firstLine="640" w:firstLineChars="200"/>
        <w:outlineLvl w:val="1"/>
        <w:rPr>
          <w:rFonts w:ascii="仿宋_GB2312" w:hAnsi="仿宋_GB2312" w:eastAsia="仿宋_GB2312" w:cs="仿宋_GB2312"/>
          <w:sz w:val="32"/>
          <w:szCs w:val="32"/>
          <w:highlight w:val="magenta"/>
        </w:rPr>
      </w:pPr>
      <w:bookmarkStart w:id="121" w:name="_Toc31793"/>
      <w:r>
        <w:rPr>
          <w:rFonts w:hint="eastAsia" w:ascii="楷体_GB2312" w:hAnsi="楷体_GB2312" w:eastAsia="楷体_GB2312" w:cs="楷体_GB2312"/>
          <w:sz w:val="32"/>
          <w:szCs w:val="32"/>
        </w:rPr>
        <w:t>1.项目绩效目标完成情况。</w:t>
      </w:r>
      <w:r>
        <w:rPr>
          <w:rFonts w:hint="eastAsia" w:ascii="楷体_GB2312" w:hAnsi="楷体_GB2312" w:eastAsia="楷体_GB2312" w:cs="楷体_GB2312"/>
          <w:sz w:val="32"/>
          <w:szCs w:val="32"/>
        </w:rPr>
        <w:br w:type="textWrapping"/>
      </w:r>
      <w:r>
        <w:rPr>
          <w:rFonts w:hint="eastAsia" w:ascii="仿宋_GB2312" w:hAnsi="仿宋_GB2312" w:eastAsia="仿宋_GB2312" w:cs="仿宋_GB2312"/>
          <w:sz w:val="32"/>
          <w:szCs w:val="32"/>
        </w:rPr>
        <w:t xml:space="preserve">    本部门在2020年度部门决算中反映“学历教育、干部培训及食宿补助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、“信息化建设及运行维护费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、“设备购置经费”、“科研和学科建设费”、“新校区建设”等5个项目绩效目标实际完成情况。</w:t>
      </w:r>
      <w:bookmarkEnd w:id="121"/>
    </w:p>
    <w:p>
      <w:pPr>
        <w:snapToGrid w:val="0"/>
        <w:spacing w:line="600" w:lineRule="exact"/>
        <w:ind w:firstLine="640" w:firstLineChars="200"/>
        <w:rPr>
          <w:rFonts w:ascii="仿宋_GB2312" w:hAnsi="仿宋_GB2312" w:eastAsia="仿宋_GB2312" w:cs="仿宋_GB2312"/>
          <w:sz w:val="32"/>
          <w:szCs w:val="32"/>
        </w:rPr>
      </w:pPr>
      <w:bookmarkStart w:id="122" w:name="_Toc19785"/>
      <w:r>
        <w:rPr>
          <w:rFonts w:hint="eastAsia" w:ascii="仿宋_GB2312" w:hAnsi="仿宋_GB2312" w:eastAsia="仿宋_GB2312" w:cs="仿宋_GB2312"/>
          <w:sz w:val="32"/>
          <w:szCs w:val="32"/>
        </w:rPr>
        <w:t>（1）学历教育、干部培训及食宿补助费项目绩效目标完成情况综述。项目全年预算数1281.79万元，执行数为942.67万元，完成预算的73.5%。通过项目实施，保障完成了</w:t>
      </w:r>
      <w:r>
        <w:rPr>
          <w:rFonts w:ascii="仿宋_GB2312" w:hAnsi="仿宋_GB2312" w:eastAsia="仿宋_GB2312" w:cs="仿宋_GB2312"/>
          <w:sz w:val="32"/>
          <w:szCs w:val="32"/>
        </w:rPr>
        <w:t>省级机关各单位处级领导干部和中青年干部的</w:t>
      </w:r>
      <w:r>
        <w:rPr>
          <w:rFonts w:hint="eastAsia" w:ascii="仿宋_GB2312" w:hAnsi="仿宋_GB2312" w:eastAsia="仿宋_GB2312" w:cs="仿宋_GB2312"/>
          <w:sz w:val="32"/>
          <w:szCs w:val="32"/>
        </w:rPr>
        <w:t>计划内</w:t>
      </w:r>
      <w:r>
        <w:rPr>
          <w:rFonts w:ascii="仿宋_GB2312" w:hAnsi="仿宋_GB2312" w:eastAsia="仿宋_GB2312" w:cs="仿宋_GB2312"/>
          <w:sz w:val="32"/>
          <w:szCs w:val="32"/>
        </w:rPr>
        <w:t>培训任务</w:t>
      </w:r>
      <w:r>
        <w:rPr>
          <w:rFonts w:hint="eastAsia" w:ascii="仿宋_GB2312" w:hAnsi="仿宋_GB2312" w:eastAsia="仿宋_GB2312" w:cs="仿宋_GB2312"/>
          <w:sz w:val="32"/>
          <w:szCs w:val="32"/>
        </w:rPr>
        <w:t>，我校与省直各部门、企事业单位和中央在川单位合作的计划外培训任务，以及</w:t>
      </w:r>
      <w:r>
        <w:rPr>
          <w:rFonts w:ascii="仿宋_GB2312" w:hAnsi="仿宋_GB2312" w:eastAsia="仿宋_GB2312" w:cs="仿宋_GB2312"/>
          <w:sz w:val="32"/>
          <w:szCs w:val="32"/>
        </w:rPr>
        <w:t>省委党校在职研究生招生组织工作</w:t>
      </w:r>
      <w:r>
        <w:rPr>
          <w:rFonts w:hint="eastAsia" w:ascii="仿宋_GB2312" w:hAnsi="仿宋_GB2312" w:eastAsia="仿宋_GB2312" w:cs="仿宋_GB2312"/>
          <w:sz w:val="32"/>
          <w:szCs w:val="32"/>
        </w:rPr>
        <w:t>，提升了培训学员的理论水平。发现的主要问题：项目实施进度影响资金使用进度，导致预算执行进度偏慢。需跨年实施的学员食堂采购项目，预算资金全部安排在当年，因此部分预算经费需结转至下年执行，不利于提高预算执行进度。下一步改进措施：</w:t>
      </w:r>
      <w:bookmarkEnd w:id="122"/>
      <w:r>
        <w:rPr>
          <w:rFonts w:hint="eastAsia" w:ascii="仿宋_GB2312" w:hAnsi="仿宋_GB2312" w:eastAsia="仿宋_GB2312" w:cs="仿宋_GB2312"/>
          <w:sz w:val="32"/>
          <w:szCs w:val="32"/>
        </w:rPr>
        <w:t>加强对项目开展情况的预判，</w:t>
      </w:r>
      <w:r>
        <w:rPr>
          <w:rFonts w:ascii="仿宋_GB2312" w:hAnsi="仿宋_GB2312" w:eastAsia="仿宋_GB2312" w:cs="仿宋_GB2312"/>
          <w:sz w:val="32"/>
          <w:szCs w:val="32"/>
        </w:rPr>
        <w:t>提升预算编制的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r>
        <w:rPr>
          <w:rFonts w:hint="eastAsia" w:ascii="仿宋_GB2312" w:hAnsi="仿宋_GB2312" w:eastAsia="仿宋_GB2312" w:cs="仿宋_GB2312"/>
          <w:sz w:val="32"/>
          <w:szCs w:val="32"/>
        </w:rPr>
        <w:t>合理安排资金，提高预算资金使用绩效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做好政府采购项目的统筹安排，需对跨年实施的项目分年度安排资金，加强对项目实施进度的监管，加快预算执行进度，进一步提高预算执行率。</w:t>
      </w:r>
      <w:bookmarkStart w:id="123" w:name="_Toc796"/>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信息化建设及运行维护项目绩效目标完成情况综述。项目全年预算数340.03万元，执行数为174.99万元，完成预算的51.5%。通过项目实施，支持了我校信息化设备及系统的替换、更新、优化、补充，升级，优化校园网站运行，提升文书档案及数字化工作，保障移动办公设备正常运行。发现的主要问题：受政策及现实条件等客观因素影响，部分设备到货时间为年底，只能于次年1月统一组织验收后支付款项，故当年预算执行进度不够高。下一步改进措施：</w:t>
      </w:r>
      <w:bookmarkEnd w:id="123"/>
      <w:r>
        <w:rPr>
          <w:rFonts w:hint="eastAsia" w:ascii="仿宋_GB2312" w:hAnsi="仿宋_GB2312" w:eastAsia="仿宋_GB2312" w:cs="仿宋_GB2312"/>
          <w:sz w:val="32"/>
          <w:szCs w:val="32"/>
        </w:rPr>
        <w:t>加强对项目开展情况的预判与</w:t>
      </w:r>
      <w:r>
        <w:rPr>
          <w:rFonts w:ascii="仿宋_GB2312" w:hAnsi="仿宋_GB2312" w:eastAsia="仿宋_GB2312" w:cs="仿宋_GB2312"/>
          <w:sz w:val="32"/>
          <w:szCs w:val="32"/>
        </w:rPr>
        <w:t>项目实施进度的</w:t>
      </w:r>
      <w:r>
        <w:rPr>
          <w:rFonts w:hint="eastAsia" w:ascii="仿宋_GB2312" w:hAnsi="仿宋_GB2312" w:eastAsia="仿宋_GB2312" w:cs="仿宋_GB2312"/>
          <w:sz w:val="32"/>
          <w:szCs w:val="32"/>
        </w:rPr>
        <w:t>督促</w:t>
      </w:r>
      <w:r>
        <w:rPr>
          <w:rFonts w:ascii="仿宋_GB2312" w:hAnsi="仿宋_GB2312" w:eastAsia="仿宋_GB2312" w:cs="仿宋_GB2312"/>
          <w:sz w:val="32"/>
          <w:szCs w:val="32"/>
        </w:rPr>
        <w:t>，加快预算执行进度，进一步提高预算执行率。</w:t>
      </w:r>
    </w:p>
    <w:p>
      <w:pPr>
        <w:snapToGrid w:val="0"/>
        <w:spacing w:line="600" w:lineRule="exact"/>
        <w:ind w:firstLine="640" w:firstLineChars="200"/>
        <w:rPr>
          <w:rFonts w:ascii="仿宋_GB2312" w:hAnsi="仿宋_GB2312" w:eastAsia="仿宋_GB2312" w:cs="仿宋_GB2312"/>
          <w:sz w:val="32"/>
          <w:szCs w:val="32"/>
        </w:rPr>
      </w:pPr>
      <w:bookmarkStart w:id="124" w:name="_Toc2689"/>
      <w:r>
        <w:rPr>
          <w:rFonts w:hint="eastAsia" w:ascii="仿宋_GB2312" w:hAnsi="仿宋_GB2312" w:eastAsia="仿宋_GB2312" w:cs="仿宋_GB2312"/>
          <w:sz w:val="32"/>
          <w:szCs w:val="32"/>
        </w:rPr>
        <w:t>（3）设备购置项目绩效目标完成情况综述。项目全年预算数341.35万元，执行数为150.26万元，完成预算的44%。该项目用于我校办公设备及教学设施的补充、完善、更新。通过项目实施，保障我校日常教学与管理工作正常开展，改善办学条件，促进我校办学能力进一步提升。发现的主要问题：受政策及现实条件等客观因素影响，部分设备款需跨年支付，导致预算执行进度偏低。下一步改进措施：</w:t>
      </w:r>
      <w:bookmarkEnd w:id="124"/>
      <w:r>
        <w:rPr>
          <w:rFonts w:ascii="仿宋_GB2312" w:hAnsi="仿宋_GB2312" w:eastAsia="仿宋_GB2312" w:cs="仿宋_GB2312"/>
          <w:sz w:val="32"/>
          <w:szCs w:val="32"/>
        </w:rPr>
        <w:t>加强对项目实施进度的</w:t>
      </w:r>
      <w:r>
        <w:rPr>
          <w:rFonts w:hint="eastAsia" w:ascii="仿宋_GB2312" w:hAnsi="仿宋_GB2312" w:eastAsia="仿宋_GB2312" w:cs="仿宋_GB2312"/>
          <w:sz w:val="32"/>
          <w:szCs w:val="32"/>
        </w:rPr>
        <w:t>监控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督促</w:t>
      </w:r>
      <w:r>
        <w:rPr>
          <w:rFonts w:ascii="仿宋_GB2312" w:hAnsi="仿宋_GB2312" w:eastAsia="仿宋_GB2312" w:cs="仿宋_GB2312"/>
          <w:sz w:val="32"/>
          <w:szCs w:val="32"/>
        </w:rPr>
        <w:t>加快预算执行进度，进一步提高预算执行率。</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科研和学科建设项目绩效目标完成情况综述。项目全年预算数113.8万元，执行数为109.51万元，完成预算的96.2%。通过项目实施，保障了校级课题、决策咨询课题的研究，科研精品的资助，提升了我校科研和学术影响力。为省委省政府提供政策建议意见，有效发挥了党校智库作用。完成了《机关干部新时代治蜀兴川能力素养专题研究》编辑出版的后期工作。发现的主要问题：我校对该项目绩效数量指标的量化准确性还不够高，绩效目标设置还不够科学。下一步改进措施：加强对科研课题执行情况的预判，科学设置预算绩效目标编，</w:t>
      </w:r>
      <w:r>
        <w:rPr>
          <w:rFonts w:ascii="仿宋_GB2312" w:hAnsi="仿宋_GB2312" w:eastAsia="仿宋_GB2312" w:cs="仿宋_GB2312"/>
          <w:sz w:val="32"/>
          <w:szCs w:val="32"/>
        </w:rPr>
        <w:t>进一步提升</w:t>
      </w:r>
      <w:r>
        <w:rPr>
          <w:rFonts w:hint="eastAsia" w:ascii="仿宋_GB2312" w:hAnsi="仿宋_GB2312" w:eastAsia="仿宋_GB2312" w:cs="仿宋_GB2312"/>
          <w:sz w:val="32"/>
          <w:szCs w:val="32"/>
        </w:rPr>
        <w:t>绩效目标</w:t>
      </w:r>
      <w:r>
        <w:rPr>
          <w:rFonts w:ascii="仿宋_GB2312" w:hAnsi="仿宋_GB2312" w:eastAsia="仿宋_GB2312" w:cs="仿宋_GB2312"/>
          <w:sz w:val="32"/>
          <w:szCs w:val="32"/>
        </w:rPr>
        <w:t>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（5）新校区建设项目绩效目标完成情况综述。项目全年预算数1040万元，执行数为16.73万元，完成预算的1.6%。通过项目实施，保障完成新校区建设</w:t>
      </w:r>
      <w:r>
        <w:rPr>
          <w:rFonts w:ascii="仿宋_GB2312" w:hAnsi="仿宋_GB2312" w:eastAsia="仿宋_GB2312" w:cs="仿宋_GB2312"/>
          <w:sz w:val="32"/>
          <w:szCs w:val="32"/>
        </w:rPr>
        <w:t>前期准备工作</w:t>
      </w:r>
      <w:r>
        <w:rPr>
          <w:rFonts w:hint="eastAsia" w:ascii="仿宋_GB2312" w:hAnsi="仿宋_GB2312" w:eastAsia="仿宋_GB2312" w:cs="仿宋_GB2312"/>
          <w:sz w:val="32"/>
          <w:szCs w:val="32"/>
        </w:rPr>
        <w:t>。发现的主要问题：因该项目处于前期准备阶段，尚未正式立项，受政策及现实条件等客观因素影响，我校对该项目相关情况的预判还不够准确，故预算编制的准确性和执行进度还不够高。</w:t>
      </w:r>
    </w:p>
    <w:p>
      <w:pPr>
        <w:spacing w:line="580" w:lineRule="exact"/>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下一步改进措施：加强对项目开展情况的预判，</w:t>
      </w:r>
      <w:r>
        <w:rPr>
          <w:rFonts w:ascii="仿宋_GB2312" w:hAnsi="仿宋_GB2312" w:eastAsia="仿宋_GB2312" w:cs="仿宋_GB2312"/>
          <w:sz w:val="32"/>
          <w:szCs w:val="32"/>
        </w:rPr>
        <w:t>进一步提升预算编制的</w:t>
      </w:r>
      <w:r>
        <w:rPr>
          <w:rFonts w:hint="eastAsia" w:ascii="仿宋_GB2312" w:hAnsi="仿宋_GB2312" w:eastAsia="仿宋_GB2312" w:cs="仿宋_GB2312"/>
          <w:sz w:val="32"/>
          <w:szCs w:val="32"/>
        </w:rPr>
        <w:t>准确</w:t>
      </w:r>
      <w:r>
        <w:rPr>
          <w:rFonts w:ascii="仿宋_GB2312" w:hAnsi="仿宋_GB2312" w:eastAsia="仿宋_GB2312" w:cs="仿宋_GB2312"/>
          <w:sz w:val="32"/>
          <w:szCs w:val="32"/>
        </w:rPr>
        <w:t>性</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加强对项目实施进度的监管，加快预算执行进度，进一步提高预算执行率。</w:t>
      </w:r>
      <w:bookmarkStart w:id="125" w:name="_Toc2346"/>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51"/>
        <w:gridCol w:w="2341"/>
        <w:gridCol w:w="59"/>
        <w:gridCol w:w="2335"/>
        <w:gridCol w:w="2392"/>
      </w:tblGrid>
      <w:tr>
        <w:tblPrEx>
          <w:tblCellMar>
            <w:top w:w="0" w:type="dxa"/>
            <w:left w:w="0" w:type="dxa"/>
            <w:bottom w:w="0" w:type="dxa"/>
            <w:right w:w="0" w:type="dxa"/>
          </w:tblCellMar>
        </w:tblPrEx>
        <w:trPr>
          <w:trHeight w:val="1251"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项目绩效目标完成情况表1</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782" w:type="dxa"/>
            <w:gridSpan w:val="3"/>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78" w:type="dxa"/>
            <w:gridSpan w:val="5"/>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78"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学历教育、干部培训及食宿补助费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78" w:type="dxa"/>
            <w:gridSpan w:val="5"/>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392"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392"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1281.79</w:t>
            </w:r>
          </w:p>
        </w:tc>
        <w:tc>
          <w:tcPr>
            <w:tcW w:w="2394" w:type="dxa"/>
            <w:gridSpan w:val="2"/>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942.67</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576.79</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394.65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p>
            <w:pPr>
              <w:jc w:val="center"/>
            </w:pPr>
            <w:r>
              <w:rPr>
                <w:rFonts w:hint="eastAsia"/>
              </w:rPr>
              <w:t>705</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548.02</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教务处全年培训十个班次，教务处预计完成2020年递进班2期80人、处级班4期200人、科级班2期100人、公务员班2期100人、初任公务员培训班1期 60人，全年学员人数合计540人的教育培训任务。党建党史教研部：组织入党积极分子及干部培训1500人，完成培训任务，保障培训工作的顺利展开，优化培训内容，完善培训服务质量。外训处：积极组织各类对外干部培训，完成4000余人的培训任务，保障培训工作的顺利展开，优化培训内容，完善培训服务质量。研究生部：“坚持内涵式发展，从严规范管理，进一步提高研究生教育质量”；做好自考和西科大的善后收尾工作。</w:t>
            </w:r>
          </w:p>
        </w:tc>
        <w:tc>
          <w:tcPr>
            <w:tcW w:w="47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务处全年完成了培训班次十二个，全年学员人数合计579人的教育培训任务。党建党史教研部：组织入党积极分子及干部培训2597人，完成培训任务，保障培训工作的顺利展开，优化培训内容，完善培训服务质量。外训处：积极组织各类对外干部培训，完成4000余人的培训任务，保障培训工作的顺利展开，优化培训内容，完善培训服务质量。研究生部：“坚持内涵式发展，从严规范管理，进一步提高研究生教育质量”；做好自考和西科大的善后收尾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培训班次</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培训人数</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大于等于5980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7194</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送课上门</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大于等于40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42</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研究生规模</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766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省直机关影响力</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逐年提升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逐年提升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可持续影响指标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按《全国党校系统十三五规划建设发展纲要》，努力提高培训、教学质量，服务于省委中心工作，为治蜀兴川做出贡献。</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9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大于等于90%</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项目绩效目标完成情况表2</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信息化建设及运行维护费</w:t>
            </w:r>
          </w:p>
        </w:tc>
      </w:tr>
      <w:tr>
        <w:tblPrEx>
          <w:tblCellMar>
            <w:top w:w="0" w:type="dxa"/>
            <w:left w:w="0" w:type="dxa"/>
            <w:bottom w:w="0" w:type="dxa"/>
            <w:right w:w="0" w:type="dxa"/>
          </w:tblCellMar>
        </w:tblPrEx>
        <w:trPr>
          <w:trHeight w:val="90"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340.03</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174.99</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137.34</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137.34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202.69</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37.65</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176台，一体机10台，笔记本电脑41台，服务器10台的软更件。升级2个网络防火墙特征库，购买网络杀毒软件病毒库，升级行为管理器特征库。升级2个网络防火墙特征库，购买网络杀毒软件病毒库，升级行为管理器特征库。更换办公楼6-1、6-2、6-3三个教室的多媒体设备。完成对学校网站信息系统三级等保测评，并通过网安总队验收。提升文书档案及数字化工作，保障校移动办公设备正常运行。</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190台，笔记本电脑41台，服务器10台的软更件。升级2个网络防火墙特征库，购买网络杀毒软件病毒库，升级行为管理器特征库。升级2个网络防火墙特征库，购买网络杀毒软件病毒库，升级行为管理器特征库。更换办公楼6-1、6-2、6-3三个教室的多媒体设备。完成对学校网站信息系统三级等保测评，并通过网安总队验收。提升文书档案及数字化工作，保障校移动办公设备正常运行。</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普通台式机（含操作软件、办公软件和杀毒软件）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176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190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笔记本电脑（含操作软件、办公软件和杀毒软件）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服务器（含操作软件、办公软件和杀毒软件）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打印机</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测评网站数量</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防火墙升级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网络杀毒软件升级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网络行为管理器升级</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测评标准</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达到信息系统三级等级保护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达到信息系统三级等级保护</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故障率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等线" w:hAnsi="等线" w:eastAsia="等线" w:cs="等线"/>
                <w:color w:val="000000"/>
                <w:sz w:val="16"/>
                <w:szCs w:val="16"/>
              </w:rPr>
            </w:pPr>
            <w:r>
              <w:t>小于0.02%</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t>小于0.02%</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性能影响</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不影响原有网络性能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不影响原有网络性能</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时效指标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完成时间</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2020年底前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2020年底前</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rPr>
              <w:t>是否超出预算</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否</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满意度指标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满意度指标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替换总量</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大于等于31%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大于等于32%</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教师学员满意度</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大于等于96%</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3</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设备购置经费</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341.35</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150.26</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131.61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p>
          <w:p>
            <w:pPr>
              <w:jc w:val="center"/>
            </w:pPr>
            <w:r>
              <w:rPr>
                <w:rFonts w:hint="eastAsia"/>
              </w:rPr>
              <w:t>191.35</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18.65</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对教学设施、办公设备进行补充、完善、更新，保障我校日常教学与管理工作正常开展，改善办学条件，促进我校办学能力进一步提升。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更新了教学设施、办公设备，保障了我校日常教学与管理工作正常开展，改善了办学条件，促进了我校办学能力进一步提升。</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购置设备数量（台/件）</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894</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设备验收合格率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设备运行状况</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时效指标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项目按期完成率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2020年12月25日前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2020年12月25日前</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对工作的促进作用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有</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可持续影响指标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设备使用频率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频繁</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频繁</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4</w:t>
            </w:r>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科研和学科建设费</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113.8</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109.51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69.89</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themeColor="text1"/>
                <w14:textFill>
                  <w14:solidFill>
                    <w14:schemeClr w14:val="tx1"/>
                  </w14:solidFill>
                </w14:textFill>
              </w:rPr>
            </w:pPr>
            <w:r>
              <w:rPr>
                <w:rFonts w:hint="eastAsia"/>
              </w:rPr>
              <w:t>43.8</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FF0000"/>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39.62</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全力做好《机关干部新时代治蜀兴川能力素养专题研究》编辑出版的后期工作；加强常规科研管理工作，高质量的完成校级课题15项，组织专家评审课题5次，组织课题调研1次；加强智库建设，为省委省政府提供政策建议意见4篇；科研精品资助约20项。有效发挥党校智库作用，提升科研和学术影响力。</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全力做好《机关干部新时代治蜀兴川能力素养专题研究》编辑出版的后期工作；加强常规科研管理工作，高质量的完成校级课题39项，组织专家评审课题5次，组织课题调研1次；加强智库建设，为省委省政府提供政策建议意见16篇；科研精品资助约20项。有效发挥党校智库作用，提升科研和学术影响力。</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完成校级课题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大于等于20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为省委省政府提供政策建议意见</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发布校级课题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大于等于44</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44</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发布决策咨询课题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大于等于16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abs>
                <w:tab w:val="left" w:pos="497"/>
              </w:tabs>
              <w:jc w:val="left"/>
              <w:textAlignment w:val="center"/>
              <w:rPr>
                <w:rFonts w:ascii="宋体" w:hAnsi="宋体" w:cs="宋体"/>
                <w:sz w:val="24"/>
              </w:rPr>
            </w:pPr>
            <w:r>
              <w:rPr>
                <w:rFonts w:hint="eastAsia" w:ascii="宋体" w:hAnsi="宋体" w:cs="宋体"/>
                <w:sz w:val="24"/>
              </w:rPr>
              <w:t>质量指标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课题按时结题率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大于等于80%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81%</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专题研究稿费</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4.8万/册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4.8万/册</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组织专家评审课题</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5万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4.8</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省直机关影响力</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逐年提升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逐年提升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按《全国党校系统十三五规划建设发展纲要》，努力提高培训、教学质量，服务于省委中心工作，为治蜀兴川做出贡献。</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影响力不断增加</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可持续影响指标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受训学员满意度</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大于等于88%</w:t>
            </w:r>
          </w:p>
        </w:tc>
      </w:tr>
      <w:tr>
        <w:tblPrEx>
          <w:tblCellMar>
            <w:top w:w="0" w:type="dxa"/>
            <w:left w:w="0" w:type="dxa"/>
            <w:bottom w:w="0" w:type="dxa"/>
            <w:right w:w="0" w:type="dxa"/>
          </w:tblCellMar>
        </w:tblPrEx>
        <w:trPr>
          <w:trHeight w:val="1034" w:hRule="atLeast"/>
          <w:jc w:val="center"/>
        </w:trPr>
        <w:tc>
          <w:tcPr>
            <w:tcW w:w="9960"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sz w:val="36"/>
                <w:szCs w:val="36"/>
              </w:rPr>
            </w:pPr>
            <w:r>
              <w:rPr>
                <w:rFonts w:hint="eastAsia" w:ascii="宋体" w:hAnsi="宋体" w:cs="宋体"/>
                <w:b/>
                <w:bCs/>
                <w:kern w:val="0"/>
                <w:sz w:val="36"/>
                <w:szCs w:val="36"/>
                <w:lang w:bidi="ar"/>
              </w:rPr>
              <w:t>项目绩效目标完成情况表</w:t>
            </w:r>
            <w:r>
              <w:rPr>
                <w:rFonts w:hint="eastAsia" w:ascii="宋体" w:hAnsi="宋体" w:cs="宋体"/>
                <w:b/>
                <w:bCs/>
                <w:kern w:val="0"/>
                <w:sz w:val="36"/>
                <w:szCs w:val="36"/>
                <w:lang w:val="en-US" w:eastAsia="zh-CN" w:bidi="ar"/>
              </w:rPr>
              <w:t>5</w:t>
            </w:r>
            <w:bookmarkStart w:id="216" w:name="_GoBack"/>
            <w:bookmarkEnd w:id="216"/>
            <w:r>
              <w:rPr>
                <w:rFonts w:hint="eastAsia" w:ascii="宋体" w:hAnsi="宋体" w:cs="宋体"/>
                <w:b/>
                <w:bCs/>
                <w:kern w:val="0"/>
                <w:sz w:val="36"/>
                <w:szCs w:val="36"/>
                <w:lang w:bidi="ar"/>
              </w:rPr>
              <w:br w:type="textWrapping"/>
            </w: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833" w:type="dxa"/>
            <w:gridSpan w:val="4"/>
            <w:tcBorders>
              <w:top w:val="nil"/>
              <w:left w:val="nil"/>
              <w:bottom w:val="single" w:color="auto" w:sz="4" w:space="0"/>
              <w:right w:val="nil"/>
            </w:tcBorders>
            <w:tcMar>
              <w:top w:w="15" w:type="dxa"/>
              <w:left w:w="15" w:type="dxa"/>
              <w:right w:w="15" w:type="dxa"/>
            </w:tcMar>
            <w:vAlign w:val="center"/>
          </w:tcPr>
          <w:p>
            <w:pPr>
              <w:widowControl/>
              <w:jc w:val="center"/>
              <w:textAlignment w:val="center"/>
              <w:rPr>
                <w:rFonts w:ascii="宋体" w:hAnsi="宋体" w:cs="宋体"/>
                <w:kern w:val="0"/>
                <w:sz w:val="24"/>
                <w:lang w:bidi="ar"/>
              </w:rPr>
            </w:pPr>
          </w:p>
        </w:tc>
        <w:tc>
          <w:tcPr>
            <w:tcW w:w="7127" w:type="dxa"/>
            <w:gridSpan w:val="4"/>
            <w:tcBorders>
              <w:top w:val="nil"/>
              <w:left w:val="nil"/>
              <w:bottom w:val="single" w:color="auto" w:sz="4" w:space="0"/>
              <w:right w:val="nil"/>
            </w:tcBorders>
            <w:tcMar>
              <w:top w:w="15" w:type="dxa"/>
              <w:left w:w="15" w:type="dxa"/>
              <w:right w:w="15" w:type="dxa"/>
            </w:tcMar>
            <w:vAlign w:val="center"/>
          </w:tcPr>
          <w:p>
            <w:pPr>
              <w:widowControl/>
              <w:wordWrap w:val="0"/>
              <w:jc w:val="right"/>
              <w:textAlignment w:val="center"/>
              <w:rPr>
                <w:rFonts w:ascii="宋体" w:hAnsi="宋体" w:cs="宋体"/>
                <w:sz w:val="24"/>
              </w:rPr>
            </w:pPr>
            <w:r>
              <w:rPr>
                <w:rFonts w:hint="eastAsia" w:ascii="宋体" w:hAnsi="宋体" w:cs="宋体"/>
                <w:sz w:val="24"/>
              </w:rPr>
              <w:t>单位:万元</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27" w:type="dxa"/>
            <w:gridSpan w:val="4"/>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新校区建设</w:t>
            </w:r>
          </w:p>
        </w:tc>
      </w:tr>
      <w:tr>
        <w:tblPrEx>
          <w:tblCellMar>
            <w:top w:w="0" w:type="dxa"/>
            <w:left w:w="0" w:type="dxa"/>
            <w:bottom w:w="0" w:type="dxa"/>
            <w:right w:w="0" w:type="dxa"/>
          </w:tblCellMar>
        </w:tblPrEx>
        <w:trPr>
          <w:trHeight w:val="276" w:hRule="atLeast"/>
          <w:jc w:val="center"/>
        </w:trPr>
        <w:tc>
          <w:tcPr>
            <w:tcW w:w="2833"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27" w:type="dxa"/>
            <w:gridSpan w:val="4"/>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中共四川省委省直机关党校</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预算数:</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1040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16.73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其中-财政拨款:</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443"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其它资金:</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1040</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16.73</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8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建设一所与四川经济社会发展形势相匹配、与我省大规模培训干部任务相适应的功能完善、设施配套、布局合理的现代化新校园。总体建设内容包括教学培训中心、学术信息中心、学员活动中心、行政管理中心和学员生活服务区及生态园区等。前期费用主要包括设计咨询费、部分划拨土地成本费。</w:t>
            </w:r>
          </w:p>
        </w:tc>
        <w:tc>
          <w:tcPr>
            <w:tcW w:w="472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szCs w:val="21"/>
              </w:rPr>
              <w:t>我校开展了绩效运行监控工作，根据前期项目的实际推进情况，对绩效目标和预算资金进行了调整。调减后项目金额为40万元，用于支付可行性研究报告咨询服务、资料费等。</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用地面积指标</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小于等于43平方米</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小于等于43平方米每生</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划拨土地成本</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150万元每亩</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150万元每亩</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对我校办学环境的改善作用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宋体"/>
                <w:sz w:val="24"/>
              </w:rPr>
            </w:pPr>
            <w:r>
              <w:rPr>
                <w:rFonts w:hint="eastAsia" w:ascii="宋体" w:hAnsi="宋体" w:cs="宋体"/>
                <w:kern w:val="0"/>
                <w:sz w:val="24"/>
                <w:lang w:bidi="ar"/>
              </w:rPr>
              <w:t>效益指标</w:t>
            </w:r>
          </w:p>
        </w:tc>
        <w:tc>
          <w:tcPr>
            <w:tcW w:w="10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4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对我校长远发展的促进作用</w:t>
            </w:r>
          </w:p>
        </w:tc>
        <w:tc>
          <w:tcPr>
            <w:tcW w:w="23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较大</w:t>
            </w:r>
          </w:p>
        </w:tc>
      </w:tr>
    </w:tbl>
    <w:p>
      <w:pPr>
        <w:spacing w:line="580" w:lineRule="exact"/>
        <w:ind w:firstLine="640" w:firstLineChars="200"/>
        <w:outlineLvl w:val="1"/>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bookmarkEnd w:id="125"/>
    </w:p>
    <w:p>
      <w:pPr>
        <w:spacing w:line="580" w:lineRule="exact"/>
        <w:ind w:firstLine="640" w:firstLineChars="200"/>
        <w:outlineLvl w:val="1"/>
        <w:rPr>
          <w:rFonts w:ascii="仿宋_GB2312" w:hAnsi="仿宋_GB2312" w:eastAsia="仿宋_GB2312" w:cs="仿宋_GB2312"/>
          <w:sz w:val="32"/>
          <w:szCs w:val="32"/>
        </w:rPr>
      </w:pPr>
      <w:bookmarkStart w:id="126" w:name="_Toc8193"/>
      <w:r>
        <w:rPr>
          <w:rFonts w:hint="eastAsia" w:ascii="仿宋_GB2312" w:hAnsi="仿宋_GB2312" w:eastAsia="仿宋_GB2312" w:cs="仿宋_GB2312"/>
          <w:sz w:val="32"/>
          <w:szCs w:val="32"/>
        </w:rPr>
        <w:t>本部门按要求对2020年部门整体支出绩效评价情况开展自评，《2020年中共四川省委省直机关党校整体支出绩效评价报告》见附件（附件1）。</w:t>
      </w:r>
      <w:bookmarkEnd w:id="126"/>
    </w:p>
    <w:p>
      <w:pPr>
        <w:pStyle w:val="2"/>
        <w:spacing w:before="93"/>
        <w:ind w:firstLine="640" w:firstLineChars="200"/>
      </w:pPr>
      <w:r>
        <w:rPr>
          <w:rFonts w:hint="eastAsia" w:hAnsi="仿宋_GB2312" w:cs="仿宋_GB2312"/>
          <w:sz w:val="32"/>
          <w:szCs w:val="32"/>
        </w:rPr>
        <w:t>本部门自行组织对中共四川省委省直机关党校部门预算项目开展了绩效评价，《2020年部门预算项目支出绩效自评报告》（附件3）。</w:t>
      </w:r>
    </w:p>
    <w:p>
      <w:pPr>
        <w:spacing w:line="580" w:lineRule="exact"/>
        <w:ind w:firstLine="640" w:firstLineChars="200"/>
        <w:outlineLvl w:val="1"/>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spacing w:line="580" w:lineRule="exact"/>
        <w:rPr>
          <w:rFonts w:ascii="楷体_GB2312" w:hAnsi="楷体_GB2312" w:eastAsia="楷体_GB2312" w:cs="楷体_GB2312"/>
          <w:sz w:val="32"/>
          <w:szCs w:val="32"/>
        </w:rPr>
      </w:pPr>
    </w:p>
    <w:p>
      <w:pPr>
        <w:widowControl/>
        <w:jc w:val="left"/>
        <w:outlineLvl w:val="1"/>
        <w:rPr>
          <w:rFonts w:ascii="仿宋_GB2312" w:eastAsia="仿宋_GB2312"/>
          <w:b/>
          <w:sz w:val="32"/>
          <w:szCs w:val="32"/>
        </w:rPr>
      </w:pPr>
    </w:p>
    <w:p>
      <w:pPr>
        <w:spacing w:line="600" w:lineRule="exact"/>
        <w:ind w:firstLine="2200" w:firstLineChars="500"/>
        <w:outlineLvl w:val="1"/>
        <w:rPr>
          <w:rStyle w:val="24"/>
          <w:rFonts w:ascii="黑体" w:hAnsi="黑体" w:eastAsia="黑体"/>
          <w:b w:val="0"/>
        </w:rPr>
      </w:pPr>
      <w:bookmarkStart w:id="127" w:name="_Toc15396613"/>
      <w:bookmarkStart w:id="128" w:name="_Toc15377225"/>
      <w:bookmarkStart w:id="129" w:name="_Toc24823"/>
      <w:r>
        <w:rPr>
          <w:rFonts w:hint="eastAsia" w:ascii="黑体" w:hAnsi="黑体" w:eastAsia="黑体"/>
          <w:sz w:val="44"/>
          <w:szCs w:val="44"/>
        </w:rPr>
        <w:t>第三部分 名</w:t>
      </w:r>
      <w:r>
        <w:rPr>
          <w:rStyle w:val="24"/>
          <w:rFonts w:hint="eastAsia" w:ascii="黑体" w:hAnsi="黑体" w:eastAsia="黑体"/>
          <w:b w:val="0"/>
        </w:rPr>
        <w:t>词解释</w:t>
      </w:r>
      <w:bookmarkEnd w:id="127"/>
      <w:bookmarkEnd w:id="128"/>
      <w:bookmarkEnd w:id="129"/>
    </w:p>
    <w:p>
      <w:pPr>
        <w:spacing w:line="600" w:lineRule="exact"/>
        <w:jc w:val="left"/>
        <w:outlineLvl w:val="1"/>
        <w:rPr>
          <w:rFonts w:ascii="宋体"/>
          <w:b/>
          <w:sz w:val="44"/>
          <w:szCs w:val="44"/>
        </w:rPr>
      </w:pPr>
    </w:p>
    <w:p>
      <w:pPr>
        <w:pStyle w:val="22"/>
        <w:spacing w:line="560" w:lineRule="exact"/>
        <w:ind w:firstLine="640" w:firstLineChars="200"/>
        <w:outlineLvl w:val="1"/>
        <w:rPr>
          <w:rFonts w:ascii="仿宋_GB2312" w:eastAsia="仿宋_GB2312"/>
          <w:sz w:val="32"/>
          <w:szCs w:val="32"/>
        </w:rPr>
      </w:pPr>
      <w:bookmarkStart w:id="130" w:name="_Toc21592"/>
      <w:bookmarkStart w:id="131" w:name="_Toc15377226"/>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bookmarkEnd w:id="130"/>
    </w:p>
    <w:p>
      <w:pPr>
        <w:pStyle w:val="22"/>
        <w:spacing w:line="560" w:lineRule="exact"/>
        <w:ind w:firstLine="640" w:firstLineChars="200"/>
        <w:outlineLvl w:val="1"/>
        <w:rPr>
          <w:rFonts w:ascii="仿宋_GB2312" w:eastAsia="仿宋_GB2312"/>
          <w:sz w:val="32"/>
          <w:szCs w:val="32"/>
        </w:rPr>
      </w:pPr>
      <w:bookmarkStart w:id="132" w:name="_Toc11270"/>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bookmarkEnd w:id="132"/>
    </w:p>
    <w:p>
      <w:pPr>
        <w:pStyle w:val="22"/>
        <w:spacing w:line="560" w:lineRule="exact"/>
        <w:ind w:firstLine="640" w:firstLineChars="200"/>
        <w:outlineLvl w:val="1"/>
        <w:rPr>
          <w:rFonts w:ascii="仿宋_GB2312" w:eastAsia="仿宋_GB2312"/>
          <w:sz w:val="32"/>
          <w:szCs w:val="32"/>
        </w:rPr>
      </w:pPr>
      <w:bookmarkStart w:id="133" w:name="_Toc15035"/>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bookmarkEnd w:id="133"/>
    </w:p>
    <w:p>
      <w:pPr>
        <w:pStyle w:val="22"/>
        <w:spacing w:line="560" w:lineRule="exact"/>
        <w:ind w:firstLine="640" w:firstLineChars="200"/>
        <w:outlineLvl w:val="1"/>
        <w:rPr>
          <w:rFonts w:ascii="仿宋_GB2312" w:eastAsia="仿宋_GB2312"/>
          <w:sz w:val="32"/>
          <w:szCs w:val="32"/>
        </w:rPr>
      </w:pPr>
      <w:bookmarkStart w:id="134" w:name="_Toc3028"/>
      <w:r>
        <w:rPr>
          <w:rFonts w:ascii="仿宋_GB2312" w:eastAsia="仿宋_GB2312"/>
          <w:sz w:val="32"/>
          <w:szCs w:val="32"/>
        </w:rPr>
        <w:t>4.</w:t>
      </w:r>
      <w:r>
        <w:rPr>
          <w:rFonts w:hint="eastAsia" w:ascii="仿宋_GB2312" w:eastAsia="仿宋_GB2312"/>
          <w:sz w:val="32"/>
          <w:szCs w:val="32"/>
        </w:rPr>
        <w:t>其他收入：指单位取得的除上述收入以外的各项收入。主要是</w:t>
      </w:r>
      <w:r>
        <w:rPr>
          <w:rFonts w:hint="eastAsia" w:hAnsi="仿宋"/>
          <w:sz w:val="32"/>
          <w:szCs w:val="32"/>
        </w:rPr>
        <w:t>主要是计划外短期培训收入、银行存款利息收入、期刊版权收入、离休干部医疗补助收入、个税手续费返还、调整往来款转收入等。</w:t>
      </w:r>
      <w:bookmarkEnd w:id="134"/>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5" w:name="_Toc9611"/>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bookmarkEnd w:id="135"/>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6" w:name="_Toc25419"/>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bookmarkEnd w:id="136"/>
      <w:r>
        <w:rPr>
          <w:rFonts w:ascii="仿宋_GB2312" w:eastAsia="仿宋_GB2312"/>
          <w:sz w:val="32"/>
          <w:szCs w:val="32"/>
        </w:rPr>
        <w:t xml:space="preserve"> </w:t>
      </w:r>
    </w:p>
    <w:p>
      <w:pPr>
        <w:pStyle w:val="22"/>
        <w:spacing w:line="560" w:lineRule="exact"/>
        <w:ind w:firstLine="640" w:firstLineChars="200"/>
        <w:outlineLvl w:val="1"/>
        <w:rPr>
          <w:rFonts w:ascii="仿宋_GB2312" w:eastAsia="仿宋_GB2312"/>
          <w:sz w:val="32"/>
          <w:szCs w:val="32"/>
        </w:rPr>
      </w:pPr>
      <w:bookmarkStart w:id="137" w:name="_Toc13197"/>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bookmarkEnd w:id="137"/>
    </w:p>
    <w:p>
      <w:pPr>
        <w:pStyle w:val="22"/>
        <w:spacing w:line="560" w:lineRule="exact"/>
        <w:ind w:firstLine="640" w:firstLineChars="200"/>
        <w:outlineLvl w:val="1"/>
        <w:rPr>
          <w:rFonts w:ascii="仿宋_GB2312" w:eastAsia="仿宋_GB2312"/>
          <w:sz w:val="32"/>
          <w:szCs w:val="32"/>
        </w:rPr>
      </w:pPr>
      <w:bookmarkStart w:id="138" w:name="_Toc26546"/>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bookmarkEnd w:id="138"/>
    </w:p>
    <w:p>
      <w:pPr>
        <w:ind w:firstLine="640" w:firstLineChars="200"/>
        <w:outlineLvl w:val="1"/>
        <w:rPr>
          <w:rFonts w:ascii="仿宋_GB2312" w:eastAsia="仿宋_GB2312"/>
          <w:color w:val="000000"/>
          <w:sz w:val="32"/>
          <w:szCs w:val="32"/>
        </w:rPr>
      </w:pPr>
      <w:bookmarkStart w:id="139" w:name="_Toc22578"/>
      <w:r>
        <w:rPr>
          <w:rFonts w:ascii="仿宋_GB2312" w:eastAsia="仿宋_GB2312"/>
          <w:color w:val="000000"/>
          <w:sz w:val="32"/>
          <w:szCs w:val="32"/>
        </w:rPr>
        <w:t>9.</w:t>
      </w:r>
      <w:r>
        <w:rPr>
          <w:rFonts w:hint="eastAsia" w:ascii="仿宋_GB2312" w:eastAsia="仿宋_GB2312"/>
          <w:color w:val="000000"/>
          <w:sz w:val="32"/>
          <w:szCs w:val="32"/>
        </w:rPr>
        <w:t>一般公共服务（类）其他一般公共服务支出（款）其他一般公共服务支出（项）：指反映除上述项目以外的其他一般公共服务支出。</w:t>
      </w:r>
      <w:bookmarkEnd w:id="139"/>
    </w:p>
    <w:p>
      <w:pPr>
        <w:ind w:firstLine="640" w:firstLineChars="200"/>
        <w:outlineLvl w:val="1"/>
        <w:rPr>
          <w:rFonts w:ascii="仿宋_GB2312" w:eastAsia="仿宋_GB2312"/>
          <w:color w:val="000000"/>
          <w:sz w:val="32"/>
          <w:szCs w:val="32"/>
        </w:rPr>
      </w:pPr>
      <w:bookmarkStart w:id="140" w:name="_Toc11480"/>
      <w:r>
        <w:rPr>
          <w:rFonts w:ascii="仿宋_GB2312" w:eastAsia="仿宋_GB2312"/>
          <w:color w:val="000000"/>
          <w:sz w:val="32"/>
          <w:szCs w:val="32"/>
        </w:rPr>
        <w:t>10.</w:t>
      </w:r>
      <w:r>
        <w:rPr>
          <w:rFonts w:hint="eastAsia" w:ascii="仿宋_GB2312" w:eastAsia="仿宋_GB2312"/>
          <w:color w:val="000000"/>
          <w:sz w:val="32"/>
          <w:szCs w:val="32"/>
        </w:rPr>
        <w:t>教育（类）进修及培训（款）干部教育（项）：指反映各级党校、行政学院、社会主义学院、国家会计学院的支出。包括机构运转、招聘师资、举办各类培训班的支出等。</w:t>
      </w:r>
      <w:bookmarkEnd w:id="140"/>
    </w:p>
    <w:p>
      <w:pPr>
        <w:ind w:firstLine="640" w:firstLineChars="200"/>
        <w:outlineLvl w:val="1"/>
        <w:rPr>
          <w:rFonts w:ascii="仿宋_GB2312" w:eastAsia="仿宋_GB2312"/>
          <w:color w:val="000000"/>
          <w:sz w:val="32"/>
          <w:szCs w:val="32"/>
        </w:rPr>
      </w:pPr>
      <w:bookmarkStart w:id="141" w:name="_Toc5543"/>
      <w:r>
        <w:rPr>
          <w:rFonts w:ascii="仿宋_GB2312" w:eastAsia="仿宋_GB2312"/>
          <w:color w:val="000000"/>
          <w:sz w:val="32"/>
          <w:szCs w:val="32"/>
        </w:rPr>
        <w:t>11.</w:t>
      </w:r>
      <w:r>
        <w:rPr>
          <w:rFonts w:hint="eastAsia" w:ascii="仿宋_GB2312" w:eastAsia="仿宋_GB2312"/>
          <w:color w:val="000000"/>
          <w:sz w:val="32"/>
          <w:szCs w:val="32"/>
        </w:rPr>
        <w:t>科学技术（类）其他科学技术支出（款）其他科学技术支出（项）：指反映其他科学技术支出中除以上各项外用于科技方面的支出。</w:t>
      </w:r>
      <w:bookmarkEnd w:id="141"/>
    </w:p>
    <w:p>
      <w:pPr>
        <w:ind w:firstLine="640" w:firstLineChars="200"/>
        <w:outlineLvl w:val="1"/>
        <w:rPr>
          <w:rFonts w:ascii="仿宋_GB2312" w:eastAsia="仿宋_GB2312"/>
          <w:color w:val="000000"/>
          <w:sz w:val="32"/>
          <w:szCs w:val="32"/>
        </w:rPr>
      </w:pPr>
      <w:bookmarkStart w:id="142" w:name="_Toc23397"/>
      <w:r>
        <w:rPr>
          <w:rFonts w:ascii="仿宋_GB2312" w:eastAsia="仿宋_GB2312"/>
          <w:color w:val="000000"/>
          <w:sz w:val="32"/>
          <w:szCs w:val="32"/>
        </w:rPr>
        <w:t>12.</w:t>
      </w:r>
      <w:r>
        <w:rPr>
          <w:rFonts w:hint="eastAsia" w:ascii="仿宋" w:hAnsi="仿宋" w:eastAsia="仿宋"/>
          <w:color w:val="000000"/>
          <w:sz w:val="32"/>
          <w:szCs w:val="32"/>
        </w:rPr>
        <w:t>社会保障和就业（类）行政事业单位养老支出（款）事业单位离退休（项）</w:t>
      </w:r>
      <w:r>
        <w:rPr>
          <w:rFonts w:hint="eastAsia" w:ascii="仿宋_GB2312" w:eastAsia="仿宋_GB2312"/>
          <w:color w:val="000000"/>
          <w:sz w:val="32"/>
          <w:szCs w:val="32"/>
        </w:rPr>
        <w:t>：指反映事业单位开支的离退休经费。</w:t>
      </w:r>
      <w:bookmarkEnd w:id="142"/>
    </w:p>
    <w:p>
      <w:pPr>
        <w:ind w:firstLine="640" w:firstLineChars="200"/>
        <w:outlineLvl w:val="1"/>
        <w:rPr>
          <w:rFonts w:ascii="仿宋_GB2312" w:eastAsia="仿宋_GB2312"/>
          <w:color w:val="000000"/>
          <w:sz w:val="32"/>
          <w:szCs w:val="32"/>
        </w:rPr>
      </w:pPr>
      <w:bookmarkStart w:id="143" w:name="_Toc11359"/>
      <w:r>
        <w:rPr>
          <w:rFonts w:ascii="仿宋_GB2312" w:eastAsia="仿宋_GB2312"/>
          <w:color w:val="000000"/>
          <w:sz w:val="32"/>
          <w:szCs w:val="32"/>
        </w:rPr>
        <w:t>13.</w:t>
      </w:r>
      <w:r>
        <w:rPr>
          <w:rFonts w:hint="eastAsia" w:ascii="仿宋" w:hAnsi="仿宋" w:eastAsia="仿宋"/>
          <w:color w:val="000000"/>
          <w:sz w:val="32"/>
          <w:szCs w:val="32"/>
        </w:rPr>
        <w:t>社会保障和就业（类）行政事业单位养老支出（款）机关事业单位基本养老养老保险缴费支出（项）</w:t>
      </w:r>
      <w:r>
        <w:rPr>
          <w:rFonts w:hint="eastAsia" w:ascii="仿宋_GB2312" w:eastAsia="仿宋_GB2312"/>
          <w:color w:val="000000"/>
          <w:sz w:val="32"/>
          <w:szCs w:val="32"/>
        </w:rPr>
        <w:t>：指反映机关事业单位实施养老保险制度由单位缴纳的基本养老保险费支出。</w:t>
      </w:r>
      <w:bookmarkEnd w:id="143"/>
    </w:p>
    <w:p>
      <w:pPr>
        <w:ind w:firstLine="640" w:firstLineChars="200"/>
        <w:outlineLvl w:val="1"/>
        <w:rPr>
          <w:rFonts w:ascii="仿宋_GB2312" w:eastAsia="仿宋_GB2312"/>
          <w:color w:val="000000"/>
          <w:sz w:val="32"/>
          <w:szCs w:val="32"/>
        </w:rPr>
      </w:pPr>
      <w:bookmarkStart w:id="144" w:name="_Toc10944"/>
      <w:r>
        <w:rPr>
          <w:rFonts w:ascii="仿宋_GB2312" w:eastAsia="仿宋_GB2312"/>
          <w:color w:val="000000"/>
          <w:sz w:val="32"/>
          <w:szCs w:val="32"/>
        </w:rPr>
        <w:t>14.</w:t>
      </w:r>
      <w:r>
        <w:rPr>
          <w:rFonts w:hint="eastAsia" w:ascii="仿宋" w:hAnsi="仿宋" w:eastAsia="仿宋"/>
          <w:color w:val="000000"/>
          <w:sz w:val="32"/>
          <w:szCs w:val="32"/>
        </w:rPr>
        <w:t>社会保障和就业（类）行政事业单位养老支出（款）机关事业单位职业年金缴费支出（项）</w:t>
      </w:r>
      <w:r>
        <w:rPr>
          <w:rFonts w:hint="eastAsia" w:ascii="仿宋_GB2312" w:eastAsia="仿宋_GB2312"/>
          <w:color w:val="000000"/>
          <w:sz w:val="32"/>
          <w:szCs w:val="32"/>
        </w:rPr>
        <w:t>：指反映机关事业单位实施养老保险制度由单位实际缴纳的职业年金支出。</w:t>
      </w:r>
      <w:bookmarkEnd w:id="144"/>
    </w:p>
    <w:p>
      <w:pPr>
        <w:ind w:firstLine="640" w:firstLineChars="200"/>
        <w:outlineLvl w:val="1"/>
        <w:rPr>
          <w:rFonts w:ascii="仿宋_GB2312" w:eastAsia="仿宋_GB2312"/>
          <w:color w:val="000000"/>
          <w:sz w:val="32"/>
          <w:szCs w:val="32"/>
        </w:rPr>
      </w:pPr>
      <w:bookmarkStart w:id="145" w:name="_Toc5086"/>
      <w:r>
        <w:rPr>
          <w:rFonts w:ascii="仿宋_GB2312" w:eastAsia="仿宋_GB2312"/>
          <w:color w:val="000000"/>
          <w:sz w:val="32"/>
          <w:szCs w:val="32"/>
        </w:rPr>
        <w:t>15.</w:t>
      </w:r>
      <w:r>
        <w:rPr>
          <w:rFonts w:hint="eastAsia" w:ascii="仿宋" w:hAnsi="仿宋" w:eastAsia="仿宋"/>
          <w:color w:val="000000"/>
          <w:sz w:val="32"/>
          <w:szCs w:val="32"/>
        </w:rPr>
        <w:t>社会保障和就业（类）其他社会保障和就业支出（款）其他社会保障和就业支出（项）</w:t>
      </w:r>
      <w:r>
        <w:rPr>
          <w:rFonts w:hint="eastAsia" w:ascii="仿宋_GB2312" w:eastAsia="仿宋_GB2312"/>
          <w:color w:val="000000"/>
          <w:sz w:val="32"/>
          <w:szCs w:val="32"/>
        </w:rPr>
        <w:t>：指反映除上述项目以外其他用于社会保障和就业方面的支出。</w:t>
      </w:r>
      <w:bookmarkEnd w:id="145"/>
    </w:p>
    <w:p>
      <w:pPr>
        <w:ind w:firstLine="640" w:firstLineChars="200"/>
        <w:outlineLvl w:val="1"/>
        <w:rPr>
          <w:rFonts w:ascii="仿宋_GB2312" w:eastAsia="仿宋_GB2312"/>
          <w:color w:val="000000"/>
          <w:sz w:val="32"/>
          <w:szCs w:val="32"/>
        </w:rPr>
      </w:pPr>
      <w:bookmarkStart w:id="146" w:name="_Toc17207"/>
      <w:r>
        <w:rPr>
          <w:rFonts w:ascii="仿宋_GB2312" w:eastAsia="仿宋_GB2312"/>
          <w:color w:val="000000"/>
          <w:sz w:val="32"/>
          <w:szCs w:val="32"/>
        </w:rPr>
        <w:t>16.</w:t>
      </w:r>
      <w:r>
        <w:rPr>
          <w:rFonts w:hint="eastAsia" w:ascii="仿宋_GB2312" w:eastAsia="仿宋_GB2312"/>
          <w:color w:val="000000"/>
          <w:sz w:val="32"/>
          <w:szCs w:val="32"/>
        </w:rPr>
        <w:t>医疗卫生与计划生育（类）行政事业单位医疗（款）事业单位医疗（项）：指反映财政部门安排的事业单位基本医疗保险缴费经费，未参加医疗保险的事业单位的公费医疗经费，按国家规定享受离休人员待遇的医疗经费。</w:t>
      </w:r>
      <w:bookmarkEnd w:id="146"/>
    </w:p>
    <w:p>
      <w:pPr>
        <w:ind w:firstLine="640" w:firstLineChars="200"/>
        <w:outlineLvl w:val="1"/>
        <w:rPr>
          <w:rFonts w:ascii="仿宋_GB2312" w:eastAsia="仿宋_GB2312"/>
          <w:color w:val="000000"/>
          <w:sz w:val="32"/>
          <w:szCs w:val="32"/>
        </w:rPr>
      </w:pPr>
      <w:bookmarkStart w:id="147" w:name="_Toc28355"/>
      <w:r>
        <w:rPr>
          <w:rFonts w:ascii="仿宋_GB2312" w:eastAsia="仿宋_GB2312"/>
          <w:color w:val="000000"/>
          <w:sz w:val="32"/>
          <w:szCs w:val="32"/>
        </w:rPr>
        <w:t>1</w:t>
      </w:r>
      <w:r>
        <w:rPr>
          <w:rFonts w:hint="eastAsia" w:ascii="仿宋_GB2312" w:eastAsia="仿宋_GB2312"/>
          <w:color w:val="000000"/>
          <w:sz w:val="32"/>
          <w:szCs w:val="32"/>
        </w:rPr>
        <w:t>7</w:t>
      </w:r>
      <w:r>
        <w:rPr>
          <w:rFonts w:ascii="仿宋_GB2312" w:eastAsia="仿宋_GB2312"/>
          <w:color w:val="000000"/>
          <w:sz w:val="32"/>
          <w:szCs w:val="32"/>
        </w:rPr>
        <w:t>.</w:t>
      </w:r>
      <w:r>
        <w:rPr>
          <w:rFonts w:hint="eastAsia" w:ascii="仿宋_GB2312" w:eastAsia="仿宋_GB2312"/>
          <w:color w:val="000000"/>
          <w:sz w:val="32"/>
          <w:szCs w:val="32"/>
        </w:rPr>
        <w:t>医疗卫生与计划生育（类）行政事业单位医疗（款）公务员医疗补助（项）：指反映财政部门安排的公务员医疗补助经费。</w:t>
      </w:r>
      <w:bookmarkEnd w:id="147"/>
    </w:p>
    <w:p>
      <w:pPr>
        <w:ind w:firstLine="640" w:firstLineChars="200"/>
        <w:outlineLvl w:val="1"/>
        <w:rPr>
          <w:rFonts w:ascii="仿宋_GB2312" w:eastAsia="仿宋_GB2312"/>
          <w:color w:val="000000"/>
          <w:sz w:val="32"/>
          <w:szCs w:val="32"/>
        </w:rPr>
      </w:pPr>
      <w:bookmarkStart w:id="148" w:name="_Toc4678"/>
      <w:r>
        <w:rPr>
          <w:rFonts w:ascii="仿宋_GB2312" w:eastAsia="仿宋_GB2312"/>
          <w:color w:val="000000"/>
          <w:sz w:val="32"/>
          <w:szCs w:val="32"/>
        </w:rPr>
        <w:t>1</w:t>
      </w:r>
      <w:r>
        <w:rPr>
          <w:rFonts w:hint="eastAsia" w:ascii="仿宋_GB2312" w:eastAsia="仿宋_GB2312"/>
          <w:color w:val="000000"/>
          <w:sz w:val="32"/>
          <w:szCs w:val="32"/>
        </w:rPr>
        <w:t>8</w:t>
      </w:r>
      <w:r>
        <w:rPr>
          <w:rFonts w:ascii="仿宋_GB2312" w:eastAsia="仿宋_GB2312"/>
          <w:color w:val="000000"/>
          <w:sz w:val="32"/>
          <w:szCs w:val="32"/>
        </w:rPr>
        <w:t>.</w:t>
      </w:r>
      <w:r>
        <w:rPr>
          <w:rFonts w:hint="eastAsia" w:ascii="仿宋_GB2312" w:eastAsia="仿宋_GB2312"/>
          <w:color w:val="000000"/>
          <w:sz w:val="32"/>
          <w:szCs w:val="32"/>
        </w:rPr>
        <w:t>住房保障（类）住房改革支出（款）住房公积金（项）：指反映行政事业单位按人力资源和社会保障部、财政部规定的基本工资和津贴补贴以及规定比例为职工缴纳的住房公积金。</w:t>
      </w:r>
      <w:bookmarkEnd w:id="148"/>
    </w:p>
    <w:p>
      <w:pPr>
        <w:ind w:firstLine="640" w:firstLineChars="200"/>
        <w:outlineLvl w:val="1"/>
        <w:rPr>
          <w:rFonts w:ascii="仿宋_GB2312" w:eastAsia="仿宋_GB2312"/>
          <w:color w:val="000000"/>
          <w:sz w:val="32"/>
          <w:szCs w:val="32"/>
        </w:rPr>
      </w:pPr>
      <w:bookmarkStart w:id="149" w:name="_Toc10799"/>
      <w:r>
        <w:rPr>
          <w:rFonts w:hint="eastAsia" w:ascii="仿宋_GB2312" w:eastAsia="仿宋_GB2312"/>
          <w:color w:val="000000"/>
          <w:sz w:val="32"/>
          <w:szCs w:val="32"/>
        </w:rPr>
        <w:t>19</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bookmarkEnd w:id="149"/>
    </w:p>
    <w:p>
      <w:pPr>
        <w:ind w:firstLine="640" w:firstLineChars="200"/>
        <w:outlineLvl w:val="1"/>
        <w:rPr>
          <w:rFonts w:ascii="仿宋_GB2312" w:eastAsia="仿宋_GB2312"/>
          <w:color w:val="000000"/>
          <w:sz w:val="32"/>
          <w:szCs w:val="32"/>
        </w:rPr>
      </w:pPr>
      <w:bookmarkStart w:id="150" w:name="_Toc23770"/>
      <w:r>
        <w:rPr>
          <w:rFonts w:hint="eastAsia" w:ascii="仿宋_GB2312" w:eastAsia="仿宋_GB2312"/>
          <w:color w:val="000000"/>
          <w:sz w:val="32"/>
          <w:szCs w:val="32"/>
        </w:rPr>
        <w:t>20</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bookmarkEnd w:id="150"/>
      <w:r>
        <w:rPr>
          <w:rFonts w:ascii="仿宋_GB2312" w:eastAsia="仿宋_GB2312"/>
          <w:color w:val="000000"/>
          <w:sz w:val="32"/>
          <w:szCs w:val="32"/>
        </w:rPr>
        <w:t xml:space="preserve"> </w:t>
      </w:r>
    </w:p>
    <w:p>
      <w:pPr>
        <w:ind w:firstLine="640" w:firstLineChars="200"/>
        <w:outlineLvl w:val="1"/>
        <w:rPr>
          <w:rFonts w:ascii="仿宋_GB2312" w:eastAsia="仿宋_GB2312"/>
          <w:color w:val="000000"/>
          <w:sz w:val="32"/>
          <w:szCs w:val="32"/>
        </w:rPr>
      </w:pPr>
      <w:bookmarkStart w:id="151" w:name="_Toc20292"/>
      <w:r>
        <w:rPr>
          <w:rFonts w:ascii="仿宋_GB2312" w:eastAsia="仿宋_GB2312"/>
          <w:color w:val="000000"/>
          <w:sz w:val="32"/>
          <w:szCs w:val="32"/>
        </w:rPr>
        <w:t>2</w:t>
      </w:r>
      <w:r>
        <w:rPr>
          <w:rFonts w:hint="eastAsia" w:ascii="仿宋_GB2312" w:eastAsia="仿宋_GB2312"/>
          <w:color w:val="000000"/>
          <w:sz w:val="32"/>
          <w:szCs w:val="32"/>
        </w:rPr>
        <w:t>1</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bookmarkEnd w:id="151"/>
    </w:p>
    <w:p>
      <w:pPr>
        <w:pStyle w:val="22"/>
        <w:spacing w:line="560" w:lineRule="exact"/>
        <w:ind w:firstLine="640" w:firstLineChars="200"/>
        <w:outlineLvl w:val="1"/>
        <w:rPr>
          <w:rFonts w:ascii="仿宋_GB2312" w:eastAsia="仿宋_GB2312"/>
          <w:sz w:val="32"/>
          <w:szCs w:val="32"/>
        </w:rPr>
      </w:pPr>
      <w:bookmarkStart w:id="152" w:name="_Toc24306"/>
      <w:r>
        <w:rPr>
          <w:rFonts w:hint="eastAsia" w:ascii="仿宋_GB2312" w:eastAsia="仿宋_GB2312"/>
          <w:sz w:val="32"/>
          <w:szCs w:val="32"/>
        </w:rPr>
        <w:t>22</w:t>
      </w:r>
      <w:r>
        <w:rPr>
          <w:rFonts w:ascii="仿宋_GB2312" w:eastAsia="仿宋_GB2312"/>
          <w:sz w:val="32"/>
          <w:szCs w:val="32"/>
        </w:rPr>
        <w:t>.</w:t>
      </w:r>
      <w:r>
        <w:rPr>
          <w:rFonts w:hint="eastAsia" w:ascii="仿宋_GB2312" w:eastAsia="仿宋_GB2312"/>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bookmarkEnd w:id="152"/>
    </w:p>
    <w:p>
      <w:pPr>
        <w:pStyle w:val="22"/>
        <w:spacing w:line="560" w:lineRule="exact"/>
        <w:ind w:firstLine="640" w:firstLineChars="200"/>
        <w:outlineLvl w:val="1"/>
        <w:rPr>
          <w:rFonts w:ascii="仿宋_GB2312" w:eastAsia="仿宋_GB2312"/>
          <w:sz w:val="32"/>
          <w:szCs w:val="32"/>
        </w:rPr>
      </w:pPr>
      <w:bookmarkStart w:id="153" w:name="_Toc10387"/>
      <w:r>
        <w:rPr>
          <w:rFonts w:hint="eastAsia" w:ascii="仿宋_GB2312" w:eastAsia="仿宋_GB2312"/>
          <w:sz w:val="32"/>
          <w:szCs w:val="32"/>
        </w:rPr>
        <w:t>23</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bookmarkEnd w:id="153"/>
    </w:p>
    <w:p>
      <w:pPr>
        <w:spacing w:line="600" w:lineRule="exact"/>
        <w:jc w:val="center"/>
        <w:outlineLvl w:val="1"/>
        <w:rPr>
          <w:rStyle w:val="24"/>
          <w:rFonts w:ascii="黑体" w:hAnsi="黑体" w:eastAsia="黑体"/>
          <w:b w:val="0"/>
        </w:rPr>
      </w:pPr>
      <w:r>
        <w:rPr>
          <w:rFonts w:ascii="宋体"/>
          <w:b/>
          <w:sz w:val="44"/>
          <w:szCs w:val="44"/>
        </w:rPr>
        <w:br w:type="page"/>
      </w:r>
      <w:bookmarkStart w:id="154" w:name="_Toc15396614"/>
      <w:bookmarkStart w:id="155" w:name="_Toc30414"/>
      <w:r>
        <w:rPr>
          <w:rFonts w:hint="eastAsia" w:ascii="黑体" w:hAnsi="黑体" w:eastAsia="黑体"/>
          <w:sz w:val="44"/>
          <w:szCs w:val="44"/>
        </w:rPr>
        <w:t>第</w:t>
      </w:r>
      <w:r>
        <w:rPr>
          <w:rStyle w:val="24"/>
          <w:rFonts w:hint="eastAsia" w:ascii="黑体" w:hAnsi="黑体" w:eastAsia="黑体"/>
          <w:b w:val="0"/>
        </w:rPr>
        <w:t>四部分 附件</w:t>
      </w:r>
      <w:bookmarkEnd w:id="154"/>
      <w:bookmarkEnd w:id="155"/>
    </w:p>
    <w:p>
      <w:pPr>
        <w:spacing w:line="600" w:lineRule="exact"/>
        <w:jc w:val="left"/>
        <w:outlineLvl w:val="1"/>
        <w:rPr>
          <w:rFonts w:ascii="方正小标宋简体" w:hAnsi="方正小标宋简体" w:eastAsia="方正小标宋简体" w:cs="方正小标宋简体"/>
          <w:sz w:val="44"/>
          <w:szCs w:val="44"/>
        </w:rPr>
      </w:pPr>
      <w:bookmarkStart w:id="156" w:name="_Toc17451"/>
      <w:r>
        <w:rPr>
          <w:rFonts w:hint="eastAsia" w:ascii="黑体" w:hAnsi="黑体" w:eastAsia="黑体" w:cs="黑体"/>
          <w:sz w:val="32"/>
          <w:szCs w:val="32"/>
        </w:rPr>
        <w:t>附件1</w:t>
      </w:r>
      <w:bookmarkEnd w:id="156"/>
    </w:p>
    <w:p>
      <w:pPr>
        <w:spacing w:line="600" w:lineRule="exact"/>
        <w:jc w:val="center"/>
        <w:outlineLvl w:val="1"/>
        <w:rPr>
          <w:rFonts w:ascii="方正小标宋简体" w:hAnsi="宋体" w:eastAsia="方正小标宋简体"/>
          <w:kern w:val="0"/>
          <w:sz w:val="40"/>
          <w:szCs w:val="44"/>
        </w:rPr>
      </w:pPr>
      <w:bookmarkStart w:id="157" w:name="_Toc2987"/>
      <w:r>
        <w:rPr>
          <w:rFonts w:hint="eastAsia" w:ascii="方正小标宋简体" w:hAnsi="宋体" w:eastAsia="方正小标宋简体"/>
          <w:kern w:val="0"/>
          <w:sz w:val="40"/>
          <w:szCs w:val="44"/>
        </w:rPr>
        <w:t>2020年中共四川省委省直机关党校整体支出</w:t>
      </w:r>
      <w:bookmarkEnd w:id="157"/>
    </w:p>
    <w:p>
      <w:pPr>
        <w:spacing w:line="600" w:lineRule="exact"/>
        <w:jc w:val="center"/>
        <w:outlineLvl w:val="1"/>
        <w:rPr>
          <w:rFonts w:ascii="方正小标宋简体" w:hAnsi="宋体" w:eastAsia="方正小标宋简体"/>
          <w:color w:val="FF0000"/>
          <w:kern w:val="0"/>
          <w:sz w:val="40"/>
          <w:szCs w:val="44"/>
          <w:lang w:val="zh-CN"/>
        </w:rPr>
      </w:pPr>
      <w:bookmarkStart w:id="158" w:name="_Toc17683"/>
      <w:r>
        <w:rPr>
          <w:rFonts w:hint="eastAsia" w:ascii="方正小标宋简体" w:hAnsi="宋体" w:eastAsia="方正小标宋简体"/>
          <w:kern w:val="0"/>
          <w:sz w:val="40"/>
          <w:szCs w:val="44"/>
        </w:rPr>
        <w:t>绩效评价报告</w:t>
      </w:r>
      <w:bookmarkEnd w:id="158"/>
    </w:p>
    <w:p>
      <w:pPr>
        <w:widowControl/>
        <w:adjustRightInd w:val="0"/>
        <w:snapToGrid w:val="0"/>
        <w:spacing w:line="580" w:lineRule="exact"/>
        <w:ind w:firstLine="480" w:firstLineChars="200"/>
        <w:contextualSpacing/>
        <w:jc w:val="left"/>
        <w:outlineLvl w:val="1"/>
        <w:rPr>
          <w:rFonts w:ascii="黑体" w:hAnsi="宋体" w:eastAsia="黑体" w:cs="宋体"/>
          <w:kern w:val="0"/>
          <w:sz w:val="24"/>
          <w:szCs w:val="32"/>
          <w:shd w:val="clear" w:color="auto" w:fill="FFFFFF"/>
        </w:rPr>
      </w:pP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lang w:val="zh-CN"/>
        </w:rPr>
      </w:pPr>
      <w:bookmarkStart w:id="159" w:name="_Toc11424"/>
      <w:r>
        <w:rPr>
          <w:rFonts w:hint="eastAsia" w:ascii="黑体" w:hAnsi="宋体" w:eastAsia="黑体" w:cs="宋体"/>
          <w:kern w:val="0"/>
          <w:sz w:val="32"/>
          <w:szCs w:val="32"/>
          <w:shd w:val="clear" w:color="auto" w:fill="FFFFFF"/>
        </w:rPr>
        <w:t>一、</w:t>
      </w:r>
      <w:r>
        <w:rPr>
          <w:rFonts w:hint="eastAsia" w:ascii="黑体" w:hAnsi="宋体" w:eastAsia="黑体" w:cs="宋体"/>
          <w:kern w:val="0"/>
          <w:sz w:val="32"/>
          <w:szCs w:val="32"/>
          <w:shd w:val="clear" w:color="auto" w:fill="FFFFFF"/>
          <w:lang w:val="zh-CN"/>
        </w:rPr>
        <w:t>部门（单位）概况</w:t>
      </w:r>
      <w:bookmarkEnd w:id="159"/>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0" w:name="_Toc10952"/>
      <w:r>
        <w:rPr>
          <w:rFonts w:hint="eastAsia" w:ascii="仿宋_GB2312" w:hAnsi="宋体" w:eastAsia="仿宋_GB2312" w:cs="宋体"/>
          <w:kern w:val="0"/>
          <w:sz w:val="32"/>
          <w:szCs w:val="32"/>
          <w:shd w:val="clear" w:color="auto" w:fill="FFFFFF"/>
          <w:lang w:val="zh-CN"/>
        </w:rPr>
        <w:t>（一）机构组成。</w:t>
      </w:r>
      <w:bookmarkEnd w:id="160"/>
    </w:p>
    <w:p>
      <w:pPr>
        <w:spacing w:line="580" w:lineRule="exact"/>
        <w:ind w:firstLine="640" w:firstLineChars="200"/>
        <w:rPr>
          <w:lang w:val="zh-CN"/>
        </w:rPr>
      </w:pPr>
      <w:r>
        <w:rPr>
          <w:rFonts w:hint="eastAsia" w:ascii="仿宋_GB2312" w:hAnsi="仿宋_GB2312" w:eastAsia="仿宋_GB2312" w:cs="仿宋_GB2312"/>
          <w:sz w:val="32"/>
          <w:szCs w:val="32"/>
          <w:lang w:val="zh-CN"/>
        </w:rPr>
        <w:t>我校是参照国家公务员管理的特殊事业单位，无下属单位。单位人员由参公管理人员、职员、专业技术人员和工勤人员四部分组成。</w:t>
      </w:r>
    </w:p>
    <w:p>
      <w:pPr>
        <w:widowControl/>
        <w:numPr>
          <w:ilvl w:val="0"/>
          <w:numId w:val="2"/>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1" w:name="_Toc3978"/>
      <w:r>
        <w:rPr>
          <w:rFonts w:hint="eastAsia" w:ascii="仿宋_GB2312" w:hAnsi="宋体" w:eastAsia="仿宋_GB2312" w:cs="宋体"/>
          <w:kern w:val="0"/>
          <w:sz w:val="32"/>
          <w:szCs w:val="32"/>
          <w:shd w:val="clear" w:color="auto" w:fill="FFFFFF"/>
          <w:lang w:val="zh-CN"/>
        </w:rPr>
        <w:t>机构职能。</w:t>
      </w:r>
      <w:bookmarkEnd w:id="161"/>
    </w:p>
    <w:p>
      <w:pPr>
        <w:pStyle w:val="2"/>
        <w:spacing w:before="93"/>
        <w:ind w:firstLine="640" w:firstLineChars="200"/>
        <w:rPr>
          <w:lang w:val="zh-CN"/>
        </w:rPr>
      </w:pPr>
      <w:r>
        <w:rPr>
          <w:rFonts w:hint="eastAsia" w:hAnsi="仿宋_GB2312" w:cs="仿宋_GB2312"/>
          <w:sz w:val="32"/>
          <w:szCs w:val="32"/>
          <w:lang w:val="zh-CN"/>
        </w:rPr>
        <w:t>主要职责是按照省委的要求，完成对省级机关各部门处级领导干部和中青年干部的培训任务，以及其他各类干部培训工作；研究宣传中国特色社会主义理论，承担重点课题研究；举办入党积极分子培训和研究生教育。</w:t>
      </w:r>
    </w:p>
    <w:p>
      <w:pPr>
        <w:widowControl/>
        <w:numPr>
          <w:ilvl w:val="0"/>
          <w:numId w:val="2"/>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2" w:name="_Toc25218"/>
      <w:r>
        <w:rPr>
          <w:rFonts w:hint="eastAsia" w:ascii="仿宋_GB2312" w:hAnsi="宋体" w:eastAsia="仿宋_GB2312" w:cs="宋体"/>
          <w:kern w:val="0"/>
          <w:sz w:val="32"/>
          <w:szCs w:val="32"/>
          <w:shd w:val="clear" w:color="auto" w:fill="FFFFFF"/>
          <w:lang w:val="zh-CN"/>
        </w:rPr>
        <w:t>人员概况。</w:t>
      </w:r>
      <w:bookmarkEnd w:id="162"/>
    </w:p>
    <w:p>
      <w:pPr>
        <w:widowControl/>
        <w:adjustRightInd w:val="0"/>
        <w:snapToGrid w:val="0"/>
        <w:spacing w:line="580" w:lineRule="exact"/>
        <w:ind w:left="420" w:leftChars="200" w:firstLine="640" w:firstLineChars="200"/>
        <w:contextualSpacing/>
        <w:jc w:val="left"/>
        <w:outlineLvl w:val="1"/>
        <w:rPr>
          <w:lang w:val="zh-CN"/>
        </w:rPr>
      </w:pPr>
      <w:r>
        <w:rPr>
          <w:rFonts w:hint="eastAsia" w:ascii="仿宋_GB2312" w:hAnsi="仿宋_GB2312" w:eastAsia="仿宋_GB2312" w:cs="仿宋_GB2312"/>
          <w:sz w:val="32"/>
          <w:szCs w:val="32"/>
          <w:lang w:val="zh-CN"/>
        </w:rPr>
        <w:t>截止20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年12月31日，我校人员编制数130人，其中参公编制43人，事业编制87人。年末实有人数9</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人，其中参公编制人员4</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人，事业编制人员5</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人。</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bookmarkStart w:id="163" w:name="_Toc18701"/>
      <w:r>
        <w:rPr>
          <w:rFonts w:hint="eastAsia" w:ascii="黑体" w:hAnsi="宋体" w:eastAsia="黑体" w:cs="宋体"/>
          <w:kern w:val="0"/>
          <w:sz w:val="32"/>
          <w:szCs w:val="32"/>
          <w:shd w:val="clear" w:color="auto" w:fill="FFFFFF"/>
        </w:rPr>
        <w:t>二、部门财政资金收支情况</w:t>
      </w:r>
      <w:bookmarkEnd w:id="163"/>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4" w:name="_Toc3461"/>
      <w:r>
        <w:rPr>
          <w:rFonts w:hint="eastAsia" w:ascii="仿宋_GB2312" w:hAnsi="宋体" w:eastAsia="仿宋_GB2312" w:cs="宋体"/>
          <w:kern w:val="0"/>
          <w:sz w:val="32"/>
          <w:szCs w:val="32"/>
          <w:shd w:val="clear" w:color="auto" w:fill="FFFFFF"/>
          <w:lang w:val="zh-CN"/>
        </w:rPr>
        <w:t>（一）部门财政资金收入情况。</w:t>
      </w:r>
      <w:bookmarkEnd w:id="164"/>
    </w:p>
    <w:p>
      <w:pPr>
        <w:pStyle w:val="2"/>
        <w:spacing w:before="93"/>
        <w:ind w:firstLine="640" w:firstLineChars="200"/>
        <w:rPr>
          <w:lang w:val="zh-CN"/>
        </w:rPr>
      </w:pPr>
      <w:r>
        <w:rPr>
          <w:rFonts w:hint="eastAsia" w:hAnsi="仿宋_GB2312" w:cs="仿宋_GB2312"/>
          <w:sz w:val="32"/>
          <w:szCs w:val="32"/>
        </w:rPr>
        <w:t>2020</w:t>
      </w:r>
      <w:r>
        <w:rPr>
          <w:rFonts w:hint="eastAsia" w:hAnsi="仿宋_GB2312" w:cs="仿宋_GB2312"/>
          <w:sz w:val="32"/>
          <w:szCs w:val="32"/>
          <w:lang w:val="zh-CN"/>
        </w:rPr>
        <w:t>年我校全年收入</w:t>
      </w:r>
      <w:r>
        <w:rPr>
          <w:rFonts w:hint="eastAsia" w:hAnsi="仿宋_GB2312" w:cs="仿宋_GB2312"/>
          <w:sz w:val="32"/>
          <w:szCs w:val="32"/>
        </w:rPr>
        <w:t>4796.15</w:t>
      </w:r>
      <w:r>
        <w:rPr>
          <w:rFonts w:hint="eastAsia" w:hAnsi="仿宋_GB2312" w:cs="仿宋_GB2312"/>
          <w:sz w:val="32"/>
          <w:szCs w:val="32"/>
          <w:lang w:val="zh-CN"/>
        </w:rPr>
        <w:t>万元。其中：财政拨款收入   3564</w:t>
      </w:r>
      <w:r>
        <w:rPr>
          <w:rFonts w:hint="eastAsia" w:hAnsi="仿宋_GB2312" w:cs="仿宋_GB2312"/>
          <w:sz w:val="32"/>
          <w:szCs w:val="32"/>
        </w:rPr>
        <w:t>.</w:t>
      </w:r>
      <w:r>
        <w:rPr>
          <w:rFonts w:hint="eastAsia" w:hAnsi="仿宋_GB2312" w:cs="仿宋_GB2312"/>
          <w:sz w:val="32"/>
          <w:szCs w:val="32"/>
          <w:lang w:val="zh-CN"/>
        </w:rPr>
        <w:t>7</w:t>
      </w:r>
      <w:r>
        <w:rPr>
          <w:rFonts w:hint="eastAsia" w:hAnsi="仿宋_GB2312" w:cs="仿宋_GB2312"/>
          <w:sz w:val="32"/>
          <w:szCs w:val="32"/>
        </w:rPr>
        <w:t>3</w:t>
      </w:r>
      <w:r>
        <w:rPr>
          <w:rFonts w:hint="eastAsia" w:hAnsi="仿宋_GB2312" w:cs="仿宋_GB2312"/>
          <w:sz w:val="32"/>
          <w:szCs w:val="32"/>
          <w:lang w:val="zh-CN"/>
        </w:rPr>
        <w:t>万元，占全年收入的</w:t>
      </w:r>
      <w:r>
        <w:rPr>
          <w:rFonts w:hint="eastAsia" w:hAnsi="仿宋_GB2312" w:cs="仿宋_GB2312"/>
          <w:sz w:val="32"/>
          <w:szCs w:val="32"/>
        </w:rPr>
        <w:t>74.32</w:t>
      </w:r>
      <w:r>
        <w:rPr>
          <w:rFonts w:hint="eastAsia" w:hAnsi="仿宋_GB2312" w:cs="仿宋_GB2312"/>
          <w:sz w:val="32"/>
          <w:szCs w:val="32"/>
          <w:lang w:val="zh-CN"/>
        </w:rPr>
        <w:t>%；财政专户拨款收入416</w:t>
      </w:r>
      <w:r>
        <w:rPr>
          <w:rFonts w:hint="eastAsia" w:hAnsi="仿宋_GB2312" w:cs="仿宋_GB2312"/>
          <w:sz w:val="32"/>
          <w:szCs w:val="32"/>
        </w:rPr>
        <w:t>.</w:t>
      </w:r>
      <w:r>
        <w:rPr>
          <w:rFonts w:hint="eastAsia" w:hAnsi="仿宋_GB2312" w:cs="仿宋_GB2312"/>
          <w:sz w:val="32"/>
          <w:szCs w:val="32"/>
          <w:lang w:val="zh-CN"/>
        </w:rPr>
        <w:t>29万元，占全年收入的</w:t>
      </w:r>
      <w:r>
        <w:rPr>
          <w:rFonts w:hint="eastAsia" w:hAnsi="仿宋_GB2312" w:cs="仿宋_GB2312"/>
          <w:sz w:val="32"/>
          <w:szCs w:val="32"/>
        </w:rPr>
        <w:t>8.68</w:t>
      </w:r>
      <w:r>
        <w:rPr>
          <w:rFonts w:hint="eastAsia" w:hAnsi="仿宋_GB2312" w:cs="仿宋_GB2312"/>
          <w:sz w:val="32"/>
          <w:szCs w:val="32"/>
          <w:lang w:val="zh-CN"/>
        </w:rPr>
        <w:t>%；其他收815</w:t>
      </w:r>
      <w:r>
        <w:rPr>
          <w:rFonts w:hint="eastAsia" w:hAnsi="仿宋_GB2312" w:cs="仿宋_GB2312"/>
          <w:sz w:val="32"/>
          <w:szCs w:val="32"/>
        </w:rPr>
        <w:t>.</w:t>
      </w:r>
      <w:r>
        <w:rPr>
          <w:rFonts w:hint="eastAsia" w:hAnsi="仿宋_GB2312" w:cs="仿宋_GB2312"/>
          <w:sz w:val="32"/>
          <w:szCs w:val="32"/>
          <w:lang w:val="zh-CN"/>
        </w:rPr>
        <w:t>13万元，占全年收入的</w:t>
      </w:r>
      <w:r>
        <w:rPr>
          <w:rFonts w:hint="eastAsia" w:hAnsi="仿宋_GB2312" w:cs="仿宋_GB2312"/>
          <w:sz w:val="32"/>
          <w:szCs w:val="32"/>
        </w:rPr>
        <w:t>17</w:t>
      </w:r>
      <w:r>
        <w:rPr>
          <w:rFonts w:hint="eastAsia" w:hAnsi="仿宋_GB2312" w:cs="仿宋_GB2312"/>
          <w:sz w:val="32"/>
          <w:szCs w:val="32"/>
          <w:lang w:val="zh-CN"/>
        </w:rPr>
        <w:t>%。</w:t>
      </w:r>
    </w:p>
    <w:p>
      <w:pPr>
        <w:widowControl/>
        <w:numPr>
          <w:ilvl w:val="0"/>
          <w:numId w:val="3"/>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5" w:name="_Toc21638"/>
      <w:r>
        <w:rPr>
          <w:rFonts w:hint="eastAsia" w:ascii="仿宋_GB2312" w:hAnsi="宋体" w:eastAsia="仿宋_GB2312" w:cs="宋体"/>
          <w:kern w:val="0"/>
          <w:sz w:val="32"/>
          <w:szCs w:val="32"/>
          <w:shd w:val="clear" w:color="auto" w:fill="FFFFFF"/>
          <w:lang w:val="zh-CN"/>
        </w:rPr>
        <w:t>部门财政资金支出情况。</w:t>
      </w:r>
      <w:bookmarkEnd w:id="165"/>
    </w:p>
    <w:p>
      <w:pPr>
        <w:pStyle w:val="2"/>
        <w:spacing w:before="93"/>
        <w:ind w:firstLine="640" w:firstLineChars="200"/>
        <w:rPr>
          <w:lang w:val="zh-CN"/>
        </w:rPr>
      </w:pPr>
      <w:r>
        <w:rPr>
          <w:rFonts w:hint="eastAsia" w:hAnsi="仿宋_GB2312" w:cs="仿宋_GB2312"/>
          <w:sz w:val="32"/>
          <w:szCs w:val="32"/>
        </w:rPr>
        <w:t>2020年我校全年支出4633.69万元。其中：基本支出3044.74万元，占全年支出的65.71%；项目支出1588.95万元，占全年支出的34.29%。</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bookmarkStart w:id="166" w:name="_Toc3126"/>
      <w:r>
        <w:rPr>
          <w:rFonts w:hint="eastAsia" w:ascii="黑体" w:hAnsi="宋体" w:eastAsia="黑体" w:cs="宋体"/>
          <w:kern w:val="0"/>
          <w:sz w:val="32"/>
          <w:szCs w:val="32"/>
          <w:shd w:val="clear" w:color="auto" w:fill="FFFFFF"/>
        </w:rPr>
        <w:t>三、部门整体预算绩效管理情况（根据适用指标体系进行调整，涉及到有专项预算的部门，专项预算项目自评报告根据要求另行单独报送）</w:t>
      </w:r>
      <w:bookmarkEnd w:id="166"/>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7" w:name="_Toc8511"/>
      <w:r>
        <w:rPr>
          <w:rFonts w:hint="eastAsia" w:ascii="仿宋_GB2312" w:hAnsi="宋体" w:eastAsia="仿宋_GB2312" w:cs="宋体"/>
          <w:kern w:val="0"/>
          <w:sz w:val="32"/>
          <w:szCs w:val="32"/>
          <w:shd w:val="clear" w:color="auto" w:fill="FFFFFF"/>
          <w:lang w:val="zh-CN"/>
        </w:rPr>
        <w:t>（一）部门预算管理。</w:t>
      </w:r>
      <w:bookmarkEnd w:id="167"/>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1.预算编制情况</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（1）目标制定</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我校按照省委省政府的重点工作任务，结合我校“三定”方案，根据各处室的工作职能、工作任务和目标，从数量、质量、成本和时效等方面填报绩效目标，设置的预算绩效目标要素完整，绩效指标均细化量化。该项自评得分10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（2）目标实现</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我校共有</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个项目纳入绩效目标管理，分别是学历教育、干部培训及食宿补助项目、科研和学科建设项目、信息化建设及运行维护项目、设备购置经费项目。我校逐一对每项数量指标的实际完成情况，对标预期绩效目标进行评价，全部数量指标个数为</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个，全部完成预期目标，但有</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项指标超过预期指标30%以上，故符合预期值的数量指标个数为</w:t>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lang w:val="zh-CN"/>
        </w:rPr>
        <w:t>个，该项自评得分</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（3）编制准确</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我校20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年年初预算</w:t>
      </w:r>
      <w:r>
        <w:rPr>
          <w:rFonts w:hint="eastAsia" w:ascii="仿宋_GB2312" w:hAnsi="仿宋_GB2312" w:eastAsia="仿宋_GB2312" w:cs="仿宋_GB2312"/>
          <w:sz w:val="32"/>
          <w:szCs w:val="32"/>
        </w:rPr>
        <w:t>7172.9</w:t>
      </w:r>
      <w:r>
        <w:rPr>
          <w:rFonts w:hint="eastAsia" w:ascii="仿宋_GB2312" w:hAnsi="仿宋_GB2312" w:eastAsia="仿宋_GB2312" w:cs="仿宋_GB2312"/>
          <w:sz w:val="32"/>
          <w:szCs w:val="32"/>
          <w:lang w:val="zh-CN"/>
        </w:rPr>
        <w:t>万元（其中：当年拨款安排</w:t>
      </w:r>
      <w:r>
        <w:rPr>
          <w:rFonts w:hint="eastAsia" w:ascii="仿宋_GB2312" w:hAnsi="仿宋_GB2312" w:eastAsia="仿宋_GB2312" w:cs="仿宋_GB2312"/>
          <w:sz w:val="32"/>
          <w:szCs w:val="32"/>
        </w:rPr>
        <w:t>6955.72</w:t>
      </w:r>
      <w:r>
        <w:rPr>
          <w:rFonts w:hint="eastAsia" w:ascii="仿宋_GB2312" w:hAnsi="仿宋_GB2312" w:eastAsia="仿宋_GB2312" w:cs="仿宋_GB2312"/>
          <w:sz w:val="32"/>
          <w:szCs w:val="32"/>
          <w:lang w:val="zh-CN"/>
        </w:rPr>
        <w:t>万元、上年结转</w:t>
      </w:r>
      <w:r>
        <w:rPr>
          <w:rFonts w:hint="eastAsia" w:ascii="仿宋_GB2312" w:hAnsi="仿宋_GB2312" w:eastAsia="仿宋_GB2312" w:cs="仿宋_GB2312"/>
          <w:sz w:val="32"/>
          <w:szCs w:val="32"/>
        </w:rPr>
        <w:t>217.18</w:t>
      </w:r>
      <w:r>
        <w:rPr>
          <w:rFonts w:hint="eastAsia" w:ascii="仿宋_GB2312" w:hAnsi="仿宋_GB2312" w:eastAsia="仿宋_GB2312" w:cs="仿宋_GB2312"/>
          <w:sz w:val="32"/>
          <w:szCs w:val="32"/>
          <w:lang w:val="zh-CN"/>
        </w:rPr>
        <w:t>万元），全年预算调剂</w:t>
      </w:r>
      <w:r>
        <w:rPr>
          <w:rFonts w:hint="eastAsia" w:ascii="仿宋_GB2312" w:hAnsi="仿宋_GB2312" w:eastAsia="仿宋_GB2312" w:cs="仿宋_GB2312"/>
          <w:sz w:val="32"/>
          <w:szCs w:val="32"/>
        </w:rPr>
        <w:t>856.73</w:t>
      </w:r>
      <w:r>
        <w:rPr>
          <w:rFonts w:hint="eastAsia" w:ascii="仿宋_GB2312" w:hAnsi="仿宋_GB2312" w:eastAsia="仿宋_GB2312" w:cs="仿宋_GB2312"/>
          <w:sz w:val="32"/>
          <w:szCs w:val="32"/>
          <w:lang w:val="zh-CN"/>
        </w:rPr>
        <w:t>万元。据此计算年初预算编制准确性：部门全年预算调剂金额</w:t>
      </w:r>
      <w:r>
        <w:rPr>
          <w:rFonts w:hint="eastAsia" w:ascii="仿宋_GB2312" w:hAnsi="仿宋_GB2312" w:eastAsia="仿宋_GB2312" w:cs="仿宋_GB2312"/>
          <w:sz w:val="32"/>
          <w:szCs w:val="32"/>
        </w:rPr>
        <w:t>856.73</w:t>
      </w:r>
      <w:r>
        <w:rPr>
          <w:rFonts w:hint="eastAsia" w:ascii="仿宋_GB2312" w:hAnsi="仿宋_GB2312" w:eastAsia="仿宋_GB2312" w:cs="仿宋_GB2312"/>
          <w:sz w:val="32"/>
          <w:szCs w:val="32"/>
          <w:lang w:val="zh-CN"/>
        </w:rPr>
        <w:t>万元/年初部门预算数</w:t>
      </w:r>
      <w:r>
        <w:rPr>
          <w:rFonts w:hint="eastAsia" w:ascii="仿宋_GB2312" w:hAnsi="仿宋_GB2312" w:eastAsia="仿宋_GB2312" w:cs="仿宋_GB2312"/>
          <w:sz w:val="32"/>
          <w:szCs w:val="32"/>
        </w:rPr>
        <w:t>7172.9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0.1，故此项得0分。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2.预算执行情况</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（1）支出控制</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年日常公用经费、项目支出中“办公费、印刷费、水费、电费、物业管理费”科目年初财政拨款预算229.66万元，财政拨款决算支出224.11万元。预决算偏差程度为</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zh-CN"/>
        </w:rPr>
        <w:t>%，故该项自评得分10分。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（2）动态调整</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年绩效监控申请调整取消财政专户拨款项目预算资金</w:t>
      </w:r>
      <w:r>
        <w:rPr>
          <w:rFonts w:hint="eastAsia" w:ascii="仿宋_GB2312" w:hAnsi="仿宋_GB2312" w:eastAsia="仿宋_GB2312" w:cs="仿宋_GB2312"/>
          <w:sz w:val="32"/>
          <w:szCs w:val="32"/>
        </w:rPr>
        <w:t>1000</w:t>
      </w:r>
      <w:r>
        <w:rPr>
          <w:rFonts w:hint="eastAsia" w:ascii="仿宋_GB2312" w:hAnsi="仿宋_GB2312" w:eastAsia="仿宋_GB2312" w:cs="仿宋_GB2312"/>
          <w:sz w:val="32"/>
          <w:szCs w:val="32"/>
          <w:lang w:val="zh-CN"/>
        </w:rPr>
        <w:t>万元；自筹项目预算资金</w:t>
      </w:r>
      <w:r>
        <w:rPr>
          <w:rFonts w:hint="eastAsia" w:ascii="仿宋_GB2312" w:hAnsi="仿宋_GB2312" w:eastAsia="仿宋_GB2312" w:cs="仿宋_GB2312"/>
          <w:sz w:val="32"/>
          <w:szCs w:val="32"/>
        </w:rPr>
        <w:t>1000万元。</w:t>
      </w:r>
      <w:r>
        <w:rPr>
          <w:rFonts w:hint="eastAsia" w:ascii="仿宋_GB2312" w:hAnsi="仿宋_GB2312" w:eastAsia="仿宋_GB2312" w:cs="仿宋_GB2312"/>
          <w:sz w:val="32"/>
          <w:szCs w:val="32"/>
          <w:lang w:val="zh-CN"/>
        </w:rPr>
        <w:t>财政预算绩效管理信息系统进行了调减，</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年底我校预算结余注销项目资金</w:t>
      </w:r>
      <w:r>
        <w:rPr>
          <w:rFonts w:hint="eastAsia" w:ascii="仿宋_GB2312" w:hAnsi="仿宋_GB2312" w:eastAsia="仿宋_GB2312" w:cs="仿宋_GB2312"/>
          <w:sz w:val="32"/>
          <w:szCs w:val="32"/>
        </w:rPr>
        <w:t>512.67</w:t>
      </w:r>
      <w:r>
        <w:rPr>
          <w:rFonts w:hint="eastAsia" w:ascii="仿宋_GB2312" w:hAnsi="仿宋_GB2312" w:eastAsia="仿宋_GB2312" w:cs="仿宋_GB2312"/>
          <w:sz w:val="32"/>
          <w:szCs w:val="32"/>
          <w:lang w:val="zh-CN"/>
        </w:rPr>
        <w:t>万元,该项得分为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部门项目支出绩效监控调整取消额</w:t>
      </w:r>
      <w:r>
        <w:rPr>
          <w:rFonts w:hint="eastAsia" w:ascii="仿宋_GB2312" w:hAnsi="仿宋_GB2312" w:eastAsia="仿宋_GB2312" w:cs="仿宋_GB2312"/>
          <w:sz w:val="32"/>
          <w:szCs w:val="32"/>
        </w:rPr>
        <w:t>2000</w:t>
      </w:r>
      <w:r>
        <w:rPr>
          <w:rFonts w:hint="eastAsia" w:ascii="仿宋_GB2312" w:hAnsi="仿宋_GB2312" w:eastAsia="仿宋_GB2312" w:cs="仿宋_GB2312"/>
          <w:sz w:val="32"/>
          <w:szCs w:val="32"/>
          <w:lang w:val="zh-CN"/>
        </w:rPr>
        <w:t>÷(部门绩效监控调整取消额</w:t>
      </w:r>
      <w:r>
        <w:rPr>
          <w:rFonts w:hint="eastAsia" w:ascii="仿宋_GB2312" w:hAnsi="仿宋_GB2312" w:eastAsia="仿宋_GB2312" w:cs="仿宋_GB2312"/>
          <w:sz w:val="32"/>
          <w:szCs w:val="32"/>
        </w:rPr>
        <w:t>2000</w:t>
      </w:r>
      <w:r>
        <w:rPr>
          <w:rFonts w:hint="eastAsia" w:ascii="仿宋_GB2312" w:hAnsi="仿宋_GB2312" w:eastAsia="仿宋_GB2312" w:cs="仿宋_GB2312"/>
          <w:sz w:val="32"/>
          <w:szCs w:val="32"/>
          <w:lang w:val="zh-CN"/>
        </w:rPr>
        <w:t>+预算结余注销额</w:t>
      </w:r>
      <w:r>
        <w:rPr>
          <w:rFonts w:hint="eastAsia" w:ascii="仿宋_GB2312" w:hAnsi="仿宋_GB2312" w:eastAsia="仿宋_GB2312" w:cs="仿宋_GB2312"/>
          <w:sz w:val="32"/>
          <w:szCs w:val="32"/>
        </w:rPr>
        <w:t>512.67</w:t>
      </w:r>
      <w:r>
        <w:rPr>
          <w:rFonts w:hint="eastAsia" w:ascii="仿宋_GB2312" w:hAnsi="仿宋_GB2312" w:eastAsia="仿宋_GB2312" w:cs="仿宋_GB2312"/>
          <w:sz w:val="32"/>
          <w:szCs w:val="32"/>
          <w:lang w:val="zh-CN"/>
        </w:rPr>
        <w:t>）*10 =</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CN"/>
        </w:rPr>
        <w:t xml:space="preserve">分。                                                                                                                                      </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（3）执行进度</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年1-6月、1-9月、1-11月我校预算执行进度分别为</w:t>
      </w:r>
      <w:r>
        <w:rPr>
          <w:rFonts w:hint="eastAsia" w:ascii="仿宋_GB2312" w:hAnsi="仿宋_GB2312" w:eastAsia="仿宋_GB2312" w:cs="仿宋_GB2312"/>
          <w:sz w:val="32"/>
          <w:szCs w:val="32"/>
        </w:rPr>
        <w:t>43.66</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83.77</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83.4</w:t>
      </w:r>
      <w:r>
        <w:rPr>
          <w:rFonts w:hint="eastAsia" w:ascii="仿宋_GB2312" w:hAnsi="仿宋_GB2312" w:eastAsia="仿宋_GB2312" w:cs="仿宋_GB2312"/>
          <w:sz w:val="32"/>
          <w:szCs w:val="32"/>
          <w:lang w:val="zh-CN"/>
        </w:rPr>
        <w:t>%，分别达到要求支出进度的40%、67.5%、82.5%。该项自评得分</w:t>
      </w:r>
      <w:r>
        <w:rPr>
          <w:rFonts w:hint="eastAsia" w:ascii="仿宋_GB2312" w:hAnsi="仿宋_GB2312" w:eastAsia="仿宋_GB2312" w:cs="仿宋_GB2312"/>
          <w:sz w:val="32"/>
          <w:szCs w:val="32"/>
        </w:rPr>
        <w:t>10分</w:t>
      </w:r>
      <w:r>
        <w:rPr>
          <w:rFonts w:hint="eastAsia" w:ascii="仿宋_GB2312" w:hAnsi="仿宋_GB2312" w:eastAsia="仿宋_GB2312" w:cs="仿宋_GB2312"/>
          <w:sz w:val="32"/>
          <w:szCs w:val="32"/>
          <w:lang w:val="zh-CN"/>
        </w:rPr>
        <w:t>。</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3.完成结果</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（1）预算完成</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按照财政厅考核部门预算进度的口径，我校2019年部门预算执行进度为</w:t>
      </w:r>
      <w:r>
        <w:rPr>
          <w:rFonts w:hint="eastAsia" w:ascii="仿宋_GB2312" w:hAnsi="仿宋_GB2312" w:eastAsia="仿宋_GB2312" w:cs="仿宋_GB2312"/>
          <w:sz w:val="32"/>
          <w:szCs w:val="32"/>
        </w:rPr>
        <w:t>90.2</w:t>
      </w:r>
      <w:r>
        <w:rPr>
          <w:rFonts w:hint="eastAsia" w:ascii="仿宋_GB2312" w:hAnsi="仿宋_GB2312" w:eastAsia="仿宋_GB2312" w:cs="仿宋_GB2312"/>
          <w:sz w:val="32"/>
          <w:szCs w:val="32"/>
          <w:lang w:val="zh-CN"/>
        </w:rPr>
        <w:t>%。该项自评得分</w:t>
      </w:r>
      <w:r>
        <w:rPr>
          <w:rFonts w:hint="eastAsia" w:ascii="仿宋_GB2312" w:hAnsi="仿宋_GB2312" w:eastAsia="仿宋_GB2312" w:cs="仿宋_GB2312"/>
          <w:sz w:val="32"/>
          <w:szCs w:val="32"/>
        </w:rPr>
        <w:t>9.02</w:t>
      </w:r>
      <w:r>
        <w:rPr>
          <w:rFonts w:hint="eastAsia" w:ascii="仿宋_GB2312" w:hAnsi="仿宋_GB2312" w:eastAsia="仿宋_GB2312" w:cs="仿宋_GB2312"/>
          <w:sz w:val="32"/>
          <w:szCs w:val="32"/>
          <w:lang w:val="zh-CN"/>
        </w:rPr>
        <w:t>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）.违规记录</w:t>
      </w:r>
    </w:p>
    <w:p>
      <w:pPr>
        <w:spacing w:line="580" w:lineRule="exact"/>
        <w:ind w:firstLine="640" w:firstLineChars="200"/>
        <w:rPr>
          <w:rFonts w:ascii="仿宋_GB2312" w:hAnsi="宋体" w:eastAsia="仿宋_GB2312" w:cs="宋体"/>
          <w:kern w:val="0"/>
          <w:sz w:val="32"/>
          <w:szCs w:val="32"/>
          <w:shd w:val="clear" w:color="auto" w:fill="FFFFFF"/>
          <w:lang w:val="zh-CN"/>
        </w:rPr>
      </w:pPr>
      <w:r>
        <w:rPr>
          <w:rFonts w:hint="eastAsia" w:ascii="仿宋_GB2312" w:hAnsi="仿宋_GB2312" w:eastAsia="仿宋_GB2312" w:cs="仿宋_GB2312"/>
          <w:sz w:val="32"/>
          <w:szCs w:val="32"/>
          <w:lang w:val="zh-CN"/>
        </w:rPr>
        <w:t>相关部门未对我校</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CN"/>
        </w:rPr>
        <w:t>年预算管理情况进行检查。该项自评得分10分。</w:t>
      </w:r>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68" w:name="_Toc6487"/>
      <w:r>
        <w:rPr>
          <w:rFonts w:hint="eastAsia" w:ascii="仿宋_GB2312" w:hAnsi="宋体" w:eastAsia="仿宋_GB2312" w:cs="宋体"/>
          <w:kern w:val="0"/>
          <w:sz w:val="32"/>
          <w:szCs w:val="32"/>
          <w:shd w:val="clear" w:color="auto" w:fill="FFFFFF"/>
          <w:lang w:val="zh-CN"/>
        </w:rPr>
        <w:t>（二）结果应用情况。</w:t>
      </w:r>
      <w:bookmarkEnd w:id="168"/>
    </w:p>
    <w:p>
      <w:pPr>
        <w:spacing w:line="580" w:lineRule="exact"/>
        <w:ind w:firstLine="640" w:firstLineChars="200"/>
        <w:rPr>
          <w:rFonts w:ascii="仿宋_GB2312" w:hAnsi="仿宋_GB2312" w:eastAsia="仿宋_GB2312" w:cs="仿宋_GB2312"/>
          <w:sz w:val="32"/>
          <w:szCs w:val="32"/>
          <w:lang w:val="zh-CN"/>
        </w:rPr>
      </w:pPr>
      <w:bookmarkStart w:id="169" w:name="_Toc7462"/>
      <w:r>
        <w:rPr>
          <w:rFonts w:hint="eastAsia" w:ascii="仿宋_GB2312" w:hAnsi="仿宋_GB2312" w:eastAsia="仿宋_GB2312" w:cs="仿宋_GB2312"/>
          <w:sz w:val="32"/>
          <w:szCs w:val="32"/>
          <w:lang w:val="zh-CN"/>
        </w:rPr>
        <w:t>1.信息自评公开</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按照</w:t>
      </w:r>
      <w:r>
        <w:rPr>
          <w:rFonts w:hint="eastAsia" w:ascii="仿宋_GB2312" w:hAnsi="仿宋_GB2312" w:eastAsia="仿宋_GB2312" w:cs="仿宋_GB2312"/>
          <w:sz w:val="32"/>
          <w:szCs w:val="32"/>
        </w:rPr>
        <w:t>财政部门统一要求</w:t>
      </w:r>
      <w:r>
        <w:rPr>
          <w:rFonts w:hint="eastAsia" w:ascii="仿宋_GB2312" w:hAnsi="仿宋_GB2312" w:eastAsia="仿宋_GB2312" w:cs="仿宋_GB2312"/>
          <w:sz w:val="32"/>
          <w:szCs w:val="32"/>
          <w:lang w:val="zh-CN"/>
        </w:rPr>
        <w:t>，我校部门整体支出绩效评价情况</w:t>
      </w:r>
      <w:r>
        <w:rPr>
          <w:rFonts w:hint="eastAsia" w:ascii="仿宋_GB2312" w:hAnsi="仿宋_GB2312" w:eastAsia="仿宋_GB2312" w:cs="仿宋_GB2312"/>
          <w:sz w:val="32"/>
          <w:szCs w:val="32"/>
        </w:rPr>
        <w:t>随同部门年终决算同步在学校官网上进行了公开</w:t>
      </w:r>
      <w:r>
        <w:rPr>
          <w:rFonts w:hint="eastAsia" w:ascii="仿宋_GB2312" w:hAnsi="仿宋_GB2312" w:eastAsia="仿宋_GB2312" w:cs="仿宋_GB2312"/>
          <w:sz w:val="32"/>
          <w:szCs w:val="32"/>
          <w:lang w:val="zh-CN"/>
        </w:rPr>
        <w:t>。该项自评得分2分。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2.整改反馈</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（1）结果整改</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年绩效目标核查、绩效监控核查和重点绩效评价未对我校提出需整改的问题，该项自评得分4分。</w:t>
      </w:r>
    </w:p>
    <w:p>
      <w:pPr>
        <w:spacing w:line="58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（2）应用反馈</w:t>
      </w:r>
    </w:p>
    <w:p>
      <w:pPr>
        <w:widowControl/>
        <w:adjustRightInd w:val="0"/>
        <w:snapToGrid w:val="0"/>
        <w:spacing w:line="580" w:lineRule="exact"/>
        <w:ind w:firstLine="640" w:firstLineChars="200"/>
        <w:contextualSpacing/>
        <w:jc w:val="left"/>
        <w:outlineLvl w:val="1"/>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我校均按要求及时向财政部门报送了整体支出绩效报告。该项自评得分4分。</w:t>
      </w:r>
    </w:p>
    <w:p>
      <w:pPr>
        <w:widowControl/>
        <w:adjustRightInd w:val="0"/>
        <w:snapToGrid w:val="0"/>
        <w:spacing w:line="580" w:lineRule="exact"/>
        <w:ind w:firstLine="640" w:firstLineChars="200"/>
        <w:contextualSpacing/>
        <w:jc w:val="left"/>
        <w:outlineLvl w:val="1"/>
        <w:rPr>
          <w:rFonts w:ascii="黑体" w:hAnsi="宋体" w:eastAsia="黑体" w:cs="宋体"/>
          <w:kern w:val="0"/>
          <w:sz w:val="32"/>
          <w:szCs w:val="32"/>
          <w:shd w:val="clear" w:color="auto" w:fill="FFFFFF"/>
        </w:rPr>
      </w:pPr>
      <w:r>
        <w:rPr>
          <w:rFonts w:hint="eastAsia" w:ascii="黑体" w:hAnsi="宋体" w:eastAsia="黑体" w:cs="宋体"/>
          <w:kern w:val="0"/>
          <w:sz w:val="32"/>
          <w:szCs w:val="32"/>
          <w:shd w:val="clear" w:color="auto" w:fill="FFFFFF"/>
        </w:rPr>
        <w:t>四、评价结论及建议</w:t>
      </w:r>
      <w:bookmarkEnd w:id="169"/>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0" w:name="_Toc11293"/>
      <w:r>
        <w:rPr>
          <w:rFonts w:hint="eastAsia" w:ascii="仿宋_GB2312" w:hAnsi="宋体" w:eastAsia="仿宋_GB2312" w:cs="宋体"/>
          <w:kern w:val="0"/>
          <w:sz w:val="32"/>
          <w:szCs w:val="32"/>
          <w:shd w:val="clear" w:color="auto" w:fill="FFFFFF"/>
          <w:lang w:val="zh-CN"/>
        </w:rPr>
        <w:t>（一）评价结论。</w:t>
      </w:r>
      <w:bookmarkEnd w:id="170"/>
    </w:p>
    <w:p>
      <w:pPr>
        <w:pStyle w:val="2"/>
        <w:spacing w:before="93"/>
        <w:ind w:firstLine="640" w:firstLineChars="200"/>
        <w:rPr>
          <w:lang w:val="zh-CN"/>
        </w:rPr>
      </w:pPr>
      <w:r>
        <w:rPr>
          <w:rFonts w:hint="eastAsia" w:hAnsi="仿宋_GB2312" w:cs="仿宋_GB2312"/>
          <w:sz w:val="32"/>
          <w:szCs w:val="32"/>
        </w:rPr>
        <w:t>总体来看，我校2020年预算编报依据充分、程序规范、项目细化、绩效设置细化完整，与部门职责和年度工作重点相符。预算支出严格按照财政厅批复的预算执行，并结合学校实际，根据各项目资金的不同特性，采取相应的措施和办法，督促加快预算执行进度，确保教学、科研资金的落实到位，切实提高了财政资金使用绩效。预算经费在保障我校各项工作有序进行、履行干部培训职能和促进科学研究等方面发挥了重要作用，取得了较好的经济效益和社会效益。以90分为满分计算，我校整体支出绩效评价自评得分76.02分，折算100分为满分计算，自评得分为84.47分。</w:t>
      </w:r>
    </w:p>
    <w:p>
      <w:pPr>
        <w:widowControl/>
        <w:numPr>
          <w:ilvl w:val="0"/>
          <w:numId w:val="3"/>
        </w:numPr>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1" w:name="_Toc32403"/>
      <w:r>
        <w:rPr>
          <w:rFonts w:hint="eastAsia" w:ascii="仿宋_GB2312" w:hAnsi="宋体" w:eastAsia="仿宋_GB2312" w:cs="宋体"/>
          <w:kern w:val="0"/>
          <w:sz w:val="32"/>
          <w:szCs w:val="32"/>
          <w:shd w:val="clear" w:color="auto" w:fill="FFFFFF"/>
          <w:lang w:val="zh-CN"/>
        </w:rPr>
        <w:t>存在问题。</w:t>
      </w:r>
      <w:bookmarkEnd w:id="171"/>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1.部份绩效目标量化指标不够精确。由于量化值设置较低，导致指标实现程度与预期目标差异过大，超出预期目标30%以上。          </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2.部分绩效项目预算不够精确。“新校区建设”项目年初预算时，有很多不确定因素，年中执行申请追减了项目经费2000万。</w:t>
      </w:r>
    </w:p>
    <w:p>
      <w:pPr>
        <w:pStyle w:val="2"/>
        <w:spacing w:before="93"/>
        <w:ind w:left="420" w:leftChars="200"/>
        <w:rPr>
          <w:lang w:val="zh-CN"/>
        </w:rPr>
      </w:pPr>
      <w:r>
        <w:rPr>
          <w:rFonts w:hint="eastAsia" w:hAnsi="仿宋_GB2312" w:cs="仿宋_GB2312"/>
          <w:sz w:val="32"/>
          <w:szCs w:val="32"/>
        </w:rPr>
        <w:t>3.绩效监控管理的力度还需进一步加大，与财政部门的沟通衔接还需进一步加强，监控结果应用于预算动态调整落实程度不够。</w:t>
      </w:r>
    </w:p>
    <w:p>
      <w:pPr>
        <w:widowControl/>
        <w:adjustRightInd w:val="0"/>
        <w:snapToGrid w:val="0"/>
        <w:spacing w:line="580" w:lineRule="exact"/>
        <w:ind w:firstLine="640" w:firstLineChars="200"/>
        <w:contextualSpacing/>
        <w:jc w:val="left"/>
        <w:outlineLvl w:val="1"/>
        <w:rPr>
          <w:rFonts w:ascii="仿宋_GB2312" w:hAnsi="宋体" w:eastAsia="仿宋_GB2312" w:cs="宋体"/>
          <w:kern w:val="0"/>
          <w:sz w:val="32"/>
          <w:szCs w:val="32"/>
          <w:shd w:val="clear" w:color="auto" w:fill="FFFFFF"/>
          <w:lang w:val="zh-CN"/>
        </w:rPr>
      </w:pPr>
      <w:bookmarkStart w:id="172" w:name="_Toc30993"/>
      <w:r>
        <w:rPr>
          <w:rFonts w:hint="eastAsia" w:ascii="仿宋_GB2312" w:hAnsi="宋体" w:eastAsia="仿宋_GB2312" w:cs="宋体"/>
          <w:kern w:val="0"/>
          <w:sz w:val="32"/>
          <w:szCs w:val="32"/>
          <w:shd w:val="clear" w:color="auto" w:fill="FFFFFF"/>
          <w:lang w:val="zh-CN"/>
        </w:rPr>
        <w:t>（三）改进建议。</w:t>
      </w:r>
      <w:bookmarkEnd w:id="172"/>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1.强化绩效目标管理。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绩效目标是开展绩效评价的重要基础及依据，我们将提高绩效目标的编制水平，进一步加强对绩效目标的审核，更加科学合理地设置绩效目标。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2.提高绩效项目预算精确性。在预算编制时，要正确把握预算编制有关政策，及时全面掌握项目细化、数据准确，规范预算编制，提高预算的精确性。</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3.持续加强绩效运行监控。</w:t>
      </w:r>
    </w:p>
    <w:p>
      <w:pPr>
        <w:pStyle w:val="2"/>
        <w:spacing w:before="93"/>
        <w:rPr>
          <w:rFonts w:hAnsi="仿宋_GB2312" w:cs="仿宋_GB2312"/>
          <w:sz w:val="32"/>
          <w:szCs w:val="32"/>
        </w:rPr>
      </w:pPr>
      <w:r>
        <w:rPr>
          <w:rFonts w:hint="eastAsia" w:hAnsi="仿宋_GB2312" w:cs="仿宋_GB2312"/>
          <w:sz w:val="32"/>
          <w:szCs w:val="32"/>
        </w:rPr>
        <w:t>提升绩效运行监控与动态调整的准确性，加强预算支出的审核、跟踪及预算执行情况分析，结合年初目标和单位业务实际开展情况，对未完成事项及所需资金进行科学合理预计，切实提高动态评估的准确性。同时加强与财政部门的沟通衔接，将绩效监控应用于预算的动态调整落实到位上。</w:t>
      </w:r>
    </w:p>
    <w:p>
      <w:pPr>
        <w:spacing w:line="580" w:lineRule="exact"/>
        <w:outlineLvl w:val="1"/>
        <w:rPr>
          <w:rFonts w:ascii="仿宋_GB2312" w:hAnsi="仿宋_GB2312" w:eastAsia="仿宋_GB2312" w:cs="仿宋_GB2312"/>
          <w:sz w:val="32"/>
          <w:szCs w:val="32"/>
        </w:rPr>
      </w:pPr>
      <w:bookmarkStart w:id="173" w:name="_Toc9260"/>
      <w:r>
        <w:rPr>
          <w:rFonts w:hint="eastAsia" w:ascii="黑体" w:hAnsi="黑体" w:eastAsia="黑体" w:cs="黑体"/>
          <w:sz w:val="32"/>
          <w:szCs w:val="32"/>
        </w:rPr>
        <w:t>附件2</w:t>
      </w:r>
      <w:bookmarkEnd w:id="173"/>
      <w:r>
        <w:rPr>
          <w:rFonts w:hint="eastAsia" w:ascii="黑体" w:hAnsi="黑体" w:eastAsia="黑体" w:cs="黑体"/>
          <w:sz w:val="32"/>
          <w:szCs w:val="32"/>
        </w:rPr>
        <w:t>无专项项目。</w:t>
      </w:r>
    </w:p>
    <w:p>
      <w:pPr>
        <w:spacing w:line="580" w:lineRule="exact"/>
        <w:outlineLvl w:val="1"/>
        <w:rPr>
          <w:rFonts w:hint="eastAsia" w:ascii="仿宋_GB2312" w:hAnsi="仿宋_GB2312" w:eastAsia="黑体" w:cs="仿宋_GB2312"/>
          <w:sz w:val="32"/>
          <w:szCs w:val="32"/>
        </w:rPr>
      </w:pPr>
      <w:bookmarkStart w:id="174" w:name="_Toc24035"/>
      <w:r>
        <w:rPr>
          <w:rFonts w:hint="eastAsia" w:ascii="黑体" w:hAnsi="黑体" w:eastAsia="黑体" w:cs="黑体"/>
          <w:sz w:val="32"/>
          <w:szCs w:val="32"/>
        </w:rPr>
        <w:t>附件3</w:t>
      </w:r>
      <w:bookmarkEnd w:id="174"/>
    </w:p>
    <w:p>
      <w:pPr>
        <w:snapToGrid w:val="0"/>
        <w:spacing w:line="600" w:lineRule="exact"/>
        <w:jc w:val="center"/>
        <w:outlineLvl w:val="1"/>
        <w:rPr>
          <w:rFonts w:ascii="方正小标宋简体" w:hAnsi="宋体" w:eastAsia="方正小标宋简体"/>
          <w:sz w:val="44"/>
          <w:szCs w:val="44"/>
        </w:rPr>
      </w:pPr>
    </w:p>
    <w:p>
      <w:pPr>
        <w:snapToGrid w:val="0"/>
        <w:spacing w:line="600" w:lineRule="exact"/>
        <w:jc w:val="center"/>
        <w:outlineLvl w:val="1"/>
        <w:rPr>
          <w:rFonts w:ascii="方正小标宋简体" w:hAnsi="宋体" w:eastAsia="方正小标宋简体"/>
          <w:sz w:val="44"/>
          <w:szCs w:val="44"/>
        </w:rPr>
      </w:pPr>
      <w:bookmarkStart w:id="175" w:name="_Toc3601"/>
      <w:r>
        <w:rPr>
          <w:rFonts w:hint="eastAsia" w:ascii="方正小标宋简体" w:hAnsi="宋体" w:eastAsia="方正小标宋简体"/>
          <w:sz w:val="44"/>
          <w:szCs w:val="44"/>
        </w:rPr>
        <w:t>2020年部门预算项目支出绩效自评报告</w:t>
      </w:r>
      <w:bookmarkEnd w:id="175"/>
    </w:p>
    <w:p>
      <w:pPr>
        <w:tabs>
          <w:tab w:val="left" w:pos="3885"/>
        </w:tabs>
        <w:snapToGrid w:val="0"/>
        <w:spacing w:line="600" w:lineRule="exact"/>
        <w:jc w:val="center"/>
        <w:outlineLvl w:val="1"/>
        <w:rPr>
          <w:rFonts w:hAnsi="宋体" w:eastAsia="仿宋_GB2312"/>
          <w:sz w:val="32"/>
          <w:szCs w:val="32"/>
        </w:rPr>
      </w:pPr>
      <w:bookmarkStart w:id="176" w:name="_Toc9233"/>
      <w:r>
        <w:rPr>
          <w:rFonts w:hint="eastAsia" w:hAnsi="宋体" w:eastAsia="仿宋_GB2312"/>
          <w:sz w:val="32"/>
          <w:szCs w:val="32"/>
        </w:rPr>
        <w:t>（学历教育、干部培训及食宿补助费）</w:t>
      </w:r>
      <w:bookmarkEnd w:id="176"/>
    </w:p>
    <w:p>
      <w:pPr>
        <w:tabs>
          <w:tab w:val="left" w:pos="3885"/>
        </w:tabs>
        <w:snapToGrid w:val="0"/>
        <w:spacing w:line="600" w:lineRule="exact"/>
        <w:ind w:firstLine="643" w:firstLineChars="200"/>
        <w:jc w:val="left"/>
        <w:outlineLvl w:val="1"/>
        <w:rPr>
          <w:rFonts w:ascii="宋体" w:hAnsi="宋体" w:eastAsia="仿宋_GB2312"/>
          <w:b/>
          <w:sz w:val="32"/>
          <w:szCs w:val="21"/>
        </w:rPr>
      </w:pPr>
    </w:p>
    <w:p>
      <w:pPr>
        <w:numPr>
          <w:ilvl w:val="0"/>
          <w:numId w:val="4"/>
        </w:numPr>
        <w:tabs>
          <w:tab w:val="left" w:pos="3885"/>
        </w:tabs>
        <w:snapToGrid w:val="0"/>
        <w:spacing w:line="600" w:lineRule="exact"/>
        <w:ind w:firstLine="640" w:firstLineChars="200"/>
        <w:jc w:val="left"/>
        <w:outlineLvl w:val="1"/>
        <w:rPr>
          <w:rFonts w:ascii="黑体" w:hAnsi="宋体" w:eastAsia="黑体"/>
          <w:sz w:val="32"/>
          <w:szCs w:val="21"/>
        </w:rPr>
      </w:pPr>
      <w:bookmarkStart w:id="177" w:name="_Toc32486"/>
      <w:r>
        <w:rPr>
          <w:rFonts w:hint="eastAsia" w:ascii="黑体" w:hAnsi="宋体" w:eastAsia="黑体"/>
          <w:sz w:val="32"/>
          <w:szCs w:val="21"/>
        </w:rPr>
        <w:t>基本情况</w:t>
      </w:r>
      <w:bookmarkEnd w:id="177"/>
    </w:p>
    <w:p>
      <w:pPr>
        <w:tabs>
          <w:tab w:val="left" w:pos="3885"/>
        </w:tabs>
        <w:snapToGrid w:val="0"/>
        <w:spacing w:line="600" w:lineRule="exact"/>
        <w:ind w:firstLine="640" w:firstLineChars="200"/>
        <w:rPr>
          <w:szCs w:val="21"/>
        </w:rPr>
      </w:pPr>
      <w:bookmarkStart w:id="178" w:name="_Toc6867"/>
      <w:r>
        <w:rPr>
          <w:rFonts w:hint="eastAsia" w:ascii="仿宋_GB2312" w:hAnsi="仿宋_GB2312" w:eastAsia="仿宋_GB2312" w:cs="仿宋_GB2312"/>
          <w:sz w:val="32"/>
          <w:szCs w:val="32"/>
        </w:rPr>
        <w:t>该项目用于完成省级机关各单位处级领导干部和中青年干部的计划内培训任务，我校与省直各部门、企事业单位和中央在川单位合作的计划外培训任务，以及省委党校在职研究生招生组织工作。该项目年初预算1259.36万元。</w:t>
      </w:r>
    </w:p>
    <w:p>
      <w:pPr>
        <w:snapToGrid w:val="0"/>
        <w:spacing w:line="600" w:lineRule="exact"/>
        <w:ind w:firstLine="640" w:firstLineChars="200"/>
        <w:outlineLvl w:val="1"/>
        <w:rPr>
          <w:rFonts w:ascii="宋体" w:hAnsi="宋体" w:eastAsia="仿宋_GB2312"/>
          <w:sz w:val="32"/>
          <w:szCs w:val="21"/>
        </w:rPr>
      </w:pPr>
      <w:r>
        <w:rPr>
          <w:rFonts w:hint="eastAsia" w:ascii="黑体" w:hAnsi="黑体" w:eastAsia="黑体" w:cs="黑体"/>
          <w:sz w:val="32"/>
          <w:szCs w:val="21"/>
        </w:rPr>
        <w:t>二、评价工作开展情况</w:t>
      </w:r>
      <w:bookmarkEnd w:id="178"/>
    </w:p>
    <w:p>
      <w:pPr>
        <w:snapToGrid w:val="0"/>
        <w:spacing w:line="600" w:lineRule="exact"/>
        <w:ind w:firstLine="640" w:firstLineChars="200"/>
        <w:outlineLvl w:val="1"/>
        <w:rPr>
          <w:rFonts w:ascii="宋体" w:hAnsi="宋体" w:eastAsia="黑体"/>
          <w:sz w:val="32"/>
          <w:szCs w:val="21"/>
        </w:rPr>
      </w:pPr>
      <w:r>
        <w:rPr>
          <w:rFonts w:hint="eastAsia" w:ascii="仿宋_GB2312" w:hAnsi="仿宋_GB2312" w:eastAsia="仿宋_GB2312" w:cs="仿宋_GB2312"/>
          <w:sz w:val="32"/>
          <w:szCs w:val="32"/>
        </w:rPr>
        <w:t>按照财政厅《关于开展2021年部门、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numPr>
          <w:ilvl w:val="0"/>
          <w:numId w:val="4"/>
        </w:numPr>
        <w:snapToGrid w:val="0"/>
        <w:spacing w:line="600" w:lineRule="exact"/>
        <w:ind w:firstLine="640" w:firstLineChars="200"/>
        <w:outlineLvl w:val="1"/>
        <w:rPr>
          <w:rFonts w:ascii="黑体" w:hAnsi="宋体" w:eastAsia="黑体"/>
          <w:sz w:val="32"/>
          <w:szCs w:val="21"/>
          <w:highlight w:val="none"/>
        </w:rPr>
      </w:pPr>
      <w:bookmarkStart w:id="179" w:name="_Toc15502"/>
      <w:r>
        <w:rPr>
          <w:rFonts w:hint="eastAsia" w:ascii="黑体" w:hAnsi="宋体" w:eastAsia="黑体"/>
          <w:sz w:val="32"/>
          <w:szCs w:val="21"/>
          <w:highlight w:val="none"/>
        </w:rPr>
        <w:t>综合评价结论</w:t>
      </w:r>
      <w:bookmarkEnd w:id="179"/>
    </w:p>
    <w:p>
      <w:pPr>
        <w:pStyle w:val="2"/>
        <w:spacing w:before="93"/>
        <w:ind w:left="420" w:leftChars="200"/>
      </w:pPr>
      <w:r>
        <w:rPr>
          <w:rFonts w:hint="eastAsia" w:hAnsi="仿宋_GB2312" w:cs="仿宋_GB2312"/>
          <w:sz w:val="32"/>
          <w:szCs w:val="32"/>
        </w:rPr>
        <w:t>该项目我校自评得分93分。</w:t>
      </w:r>
    </w:p>
    <w:p>
      <w:pPr>
        <w:snapToGrid w:val="0"/>
        <w:spacing w:line="600" w:lineRule="exact"/>
        <w:ind w:firstLine="640" w:firstLineChars="200"/>
        <w:outlineLvl w:val="1"/>
        <w:rPr>
          <w:rFonts w:ascii="黑体" w:hAnsi="黑体" w:eastAsia="黑体" w:cs="黑体"/>
          <w:bCs/>
          <w:sz w:val="32"/>
          <w:szCs w:val="21"/>
        </w:rPr>
      </w:pPr>
      <w:bookmarkStart w:id="180" w:name="_Toc26434"/>
      <w:r>
        <w:rPr>
          <w:rFonts w:hint="eastAsia" w:ascii="黑体" w:hAnsi="黑体" w:eastAsia="黑体" w:cs="黑体"/>
          <w:bCs/>
          <w:sz w:val="32"/>
          <w:szCs w:val="21"/>
        </w:rPr>
        <w:t>四、绩效评价分析</w:t>
      </w:r>
      <w:bookmarkEnd w:id="180"/>
    </w:p>
    <w:p>
      <w:pPr>
        <w:snapToGrid w:val="0"/>
        <w:spacing w:line="600" w:lineRule="exact"/>
        <w:ind w:firstLine="643" w:firstLineChars="200"/>
        <w:outlineLvl w:val="1"/>
        <w:rPr>
          <w:rFonts w:ascii="楷体_GB2312" w:hAnsi="宋体" w:eastAsia="楷体_GB2312"/>
          <w:b/>
          <w:sz w:val="32"/>
          <w:szCs w:val="21"/>
        </w:rPr>
      </w:pPr>
      <w:bookmarkStart w:id="181" w:name="_Toc6208"/>
      <w:r>
        <w:rPr>
          <w:rFonts w:hint="eastAsia" w:ascii="楷体_GB2312" w:hAnsi="宋体" w:eastAsia="楷体_GB2312"/>
          <w:b/>
          <w:sz w:val="32"/>
          <w:szCs w:val="21"/>
        </w:rPr>
        <w:t>（一）项目决策情况</w:t>
      </w:r>
      <w:bookmarkEnd w:id="181"/>
    </w:p>
    <w:p>
      <w:pPr>
        <w:tabs>
          <w:tab w:val="left" w:pos="3885"/>
        </w:tabs>
        <w:snapToGrid w:val="0"/>
        <w:spacing w:line="600" w:lineRule="exact"/>
        <w:ind w:firstLine="640" w:firstLineChars="200"/>
      </w:pPr>
      <w:r>
        <w:rPr>
          <w:rFonts w:hint="eastAsia" w:ascii="仿宋_GB2312" w:hAnsi="仿宋_GB2312" w:eastAsia="仿宋_GB2312" w:cs="仿宋_GB2312"/>
          <w:sz w:val="32"/>
          <w:szCs w:val="32"/>
        </w:rPr>
        <w:t>该项目为我常年项目，项目的设立经过评估论证，并与我校职责相符，与相关部门同类项目或我校内部项目不重复，属于公共财政支持范围。项目规划符合省委、省政府重大决策部署，与项目年度目标一致。项目绩效目标编制完整且细化量化。</w:t>
      </w:r>
    </w:p>
    <w:p>
      <w:pPr>
        <w:numPr>
          <w:ilvl w:val="0"/>
          <w:numId w:val="5"/>
        </w:numPr>
        <w:snapToGrid w:val="0"/>
        <w:spacing w:line="600" w:lineRule="exact"/>
        <w:ind w:firstLine="643" w:firstLineChars="200"/>
        <w:outlineLvl w:val="1"/>
        <w:rPr>
          <w:rFonts w:ascii="楷体_GB2312" w:hAnsi="宋体" w:eastAsia="楷体_GB2312"/>
          <w:b/>
          <w:sz w:val="32"/>
          <w:szCs w:val="21"/>
        </w:rPr>
      </w:pPr>
      <w:bookmarkStart w:id="182" w:name="_Toc17702"/>
      <w:r>
        <w:rPr>
          <w:rFonts w:hint="eastAsia" w:ascii="楷体_GB2312" w:hAnsi="宋体" w:eastAsia="楷体_GB2312"/>
          <w:b/>
          <w:sz w:val="32"/>
          <w:szCs w:val="21"/>
        </w:rPr>
        <w:t>项目管理情况</w:t>
      </w:r>
      <w:bookmarkEnd w:id="182"/>
    </w:p>
    <w:p>
      <w:pPr>
        <w:tabs>
          <w:tab w:val="left" w:pos="3885"/>
        </w:tabs>
        <w:snapToGrid w:val="0"/>
        <w:spacing w:line="600" w:lineRule="exact"/>
        <w:ind w:firstLine="640" w:firstLineChars="200"/>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在项目执行中，我校开展了预算绩效监控，对项目绩效运行情况进行了统计、分析、预测。项目的实施严格执行相关制度规定，资金使用符合相关的财务管理制度规定。该项目年终预算执行率为73.5%。</w:t>
      </w:r>
    </w:p>
    <w:p>
      <w:pPr>
        <w:numPr>
          <w:ilvl w:val="0"/>
          <w:numId w:val="5"/>
        </w:numPr>
        <w:snapToGrid w:val="0"/>
        <w:spacing w:line="600" w:lineRule="exact"/>
        <w:ind w:firstLine="643" w:firstLineChars="200"/>
        <w:outlineLvl w:val="1"/>
        <w:rPr>
          <w:rFonts w:ascii="楷体_GB2312" w:hAnsi="宋体" w:eastAsia="楷体_GB2312"/>
          <w:b/>
          <w:sz w:val="32"/>
          <w:szCs w:val="21"/>
        </w:rPr>
      </w:pPr>
      <w:bookmarkStart w:id="183" w:name="_Toc17733"/>
      <w:r>
        <w:rPr>
          <w:rFonts w:hint="eastAsia" w:ascii="楷体_GB2312" w:hAnsi="宋体" w:eastAsia="楷体_GB2312"/>
          <w:b/>
          <w:sz w:val="32"/>
          <w:szCs w:val="21"/>
        </w:rPr>
        <w:t>项目产出情况</w:t>
      </w:r>
      <w:bookmarkEnd w:id="183"/>
    </w:p>
    <w:p>
      <w:pPr>
        <w:pStyle w:val="2"/>
        <w:spacing w:before="93"/>
        <w:ind w:left="420" w:leftChars="200" w:firstLine="640" w:firstLineChars="200"/>
      </w:pPr>
      <w:r>
        <w:rPr>
          <w:rFonts w:hint="eastAsia" w:hAnsi="仿宋_GB2312" w:cs="仿宋_GB2312"/>
          <w:sz w:val="32"/>
          <w:szCs w:val="32"/>
        </w:rPr>
        <w:t>项目设定的数量指标4个，完成绩效目标4个；项目设定的效益指标2个，完成绩效目标2个；项目设定的满意度指标2个，完成绩效目标2个。</w:t>
      </w:r>
    </w:p>
    <w:p>
      <w:pPr>
        <w:numPr>
          <w:ilvl w:val="0"/>
          <w:numId w:val="5"/>
        </w:numPr>
        <w:tabs>
          <w:tab w:val="left" w:pos="3885"/>
        </w:tabs>
        <w:snapToGrid w:val="0"/>
        <w:spacing w:line="600" w:lineRule="exact"/>
        <w:ind w:firstLine="643" w:firstLineChars="200"/>
        <w:rPr>
          <w:rFonts w:ascii="楷体_GB2312" w:hAnsi="宋体" w:eastAsia="楷体_GB2312"/>
          <w:b/>
          <w:sz w:val="32"/>
          <w:szCs w:val="21"/>
        </w:rPr>
      </w:pPr>
      <w:bookmarkStart w:id="184" w:name="_Toc7455"/>
      <w:r>
        <w:rPr>
          <w:rFonts w:hint="eastAsia" w:ascii="楷体_GB2312" w:hAnsi="宋体" w:eastAsia="楷体_GB2312"/>
          <w:b/>
          <w:sz w:val="32"/>
          <w:szCs w:val="21"/>
        </w:rPr>
        <w:t>项目效益情况。</w:t>
      </w:r>
      <w:bookmarkEnd w:id="184"/>
    </w:p>
    <w:p>
      <w:pPr>
        <w:tabs>
          <w:tab w:val="left" w:pos="3885"/>
        </w:tabs>
        <w:snapToGrid w:val="0"/>
        <w:spacing w:line="600" w:lineRule="exact"/>
        <w:ind w:left="420" w:leftChars="200" w:firstLine="640" w:firstLineChars="200"/>
        <w:rPr>
          <w:rFonts w:ascii="楷体_GB2312" w:hAnsi="宋体" w:eastAsia="楷体_GB2312"/>
          <w:b/>
          <w:sz w:val="32"/>
          <w:szCs w:val="21"/>
        </w:rPr>
      </w:pPr>
      <w:r>
        <w:rPr>
          <w:rFonts w:hint="eastAsia" w:ascii="仿宋_GB2312" w:hAnsi="仿宋_GB2312" w:eastAsia="仿宋_GB2312" w:cs="仿宋_GB2312"/>
          <w:sz w:val="32"/>
          <w:szCs w:val="32"/>
        </w:rPr>
        <w:t>项目设定的工作任务均已完成，项目设定的社会效益指标、可持续影响指标均已完成。</w:t>
      </w:r>
    </w:p>
    <w:p>
      <w:pPr>
        <w:numPr>
          <w:ilvl w:val="0"/>
          <w:numId w:val="6"/>
        </w:numPr>
        <w:snapToGrid w:val="0"/>
        <w:spacing w:line="600" w:lineRule="exact"/>
        <w:ind w:firstLine="640" w:firstLineChars="200"/>
        <w:outlineLvl w:val="1"/>
        <w:rPr>
          <w:rFonts w:ascii="黑体" w:hAnsi="宋体" w:eastAsia="黑体"/>
          <w:sz w:val="32"/>
          <w:szCs w:val="21"/>
        </w:rPr>
      </w:pPr>
      <w:bookmarkStart w:id="185" w:name="_Toc1761"/>
      <w:r>
        <w:rPr>
          <w:rFonts w:hint="eastAsia" w:ascii="黑体" w:hAnsi="宋体" w:eastAsia="黑体"/>
          <w:sz w:val="32"/>
          <w:szCs w:val="21"/>
        </w:rPr>
        <w:t>存在主要问题</w:t>
      </w:r>
      <w:bookmarkEnd w:id="185"/>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项目实施进度影响资金使用进度，导致预算执行进度偏慢。受疫情影响，我校青年干部铸魂班取消了原计划开展异地高校培训的计划，故培训费执行进度偏慢，且年底有尚未使用完毕的资金</w:t>
      </w:r>
    </w:p>
    <w:p>
      <w:pPr>
        <w:pStyle w:val="2"/>
        <w:numPr>
          <w:ilvl w:val="0"/>
          <w:numId w:val="6"/>
        </w:numPr>
        <w:spacing w:before="93"/>
      </w:pPr>
      <w:r>
        <w:rPr>
          <w:rFonts w:hint="eastAsia" w:hAnsi="仿宋_GB2312" w:cs="仿宋_GB2312"/>
          <w:sz w:val="32"/>
          <w:szCs w:val="32"/>
        </w:rPr>
        <w:t>需跨年实施的学员食堂采购项目，预算资金全部安排在当年，因此部分预算经费需结转至下年执行，不利于提高预算执行进度。</w:t>
      </w:r>
    </w:p>
    <w:p>
      <w:pPr>
        <w:numPr>
          <w:ilvl w:val="0"/>
          <w:numId w:val="6"/>
        </w:numPr>
        <w:snapToGrid w:val="0"/>
        <w:spacing w:line="600" w:lineRule="exact"/>
        <w:outlineLvl w:val="1"/>
        <w:rPr>
          <w:rFonts w:ascii="黑体" w:hAnsi="宋体" w:eastAsia="黑体"/>
          <w:sz w:val="32"/>
          <w:szCs w:val="21"/>
        </w:rPr>
      </w:pPr>
      <w:bookmarkStart w:id="186" w:name="_Toc18398"/>
      <w:r>
        <w:rPr>
          <w:rFonts w:hint="eastAsia" w:ascii="黑体" w:hAnsi="宋体" w:eastAsia="黑体"/>
          <w:sz w:val="32"/>
          <w:szCs w:val="21"/>
        </w:rPr>
        <w:t>相关措施建议</w:t>
      </w:r>
      <w:bookmarkEnd w:id="186"/>
    </w:p>
    <w:p>
      <w:pPr>
        <w:tabs>
          <w:tab w:val="left" w:pos="3885"/>
        </w:tabs>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加强对项目开展情况的预判，提升预算编制的准确性，合理安排资金，提高预算资金使用绩效</w:t>
      </w:r>
      <w:r>
        <w:rPr>
          <w:rFonts w:hint="eastAsia" w:ascii="仿宋_GB2312" w:hAnsi="仿宋_GB2312" w:eastAsia="仿宋_GB2312" w:cs="仿宋_GB2312"/>
          <w:sz w:val="32"/>
          <w:szCs w:val="32"/>
          <w:lang w:val="zh-CN"/>
        </w:rPr>
        <w:t>。</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做好政府采购项目的统筹安排，需对跨年实施的项目分年度安排资金，加强对项目实施进度的监管，加快预算执行进度，进一步提高预算执行率。</w:t>
      </w: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部门预算项目支出绩效自评报告</w:t>
      </w:r>
    </w:p>
    <w:p>
      <w:pPr>
        <w:tabs>
          <w:tab w:val="left" w:pos="3885"/>
        </w:tabs>
        <w:snapToGrid w:val="0"/>
        <w:spacing w:line="600" w:lineRule="exact"/>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（信息化建设及运行维护项目）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w:t>
      </w:r>
      <w:r>
        <w:rPr>
          <w:rFonts w:eastAsia="黑体"/>
          <w:sz w:val="32"/>
          <w:szCs w:val="32"/>
        </w:rPr>
        <w:t>基本情况</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该项目主要用于我校信息化设备及系统的替换、更新、优化、补充，升级优化校园网站运行，提升文书档案及数字化工作，保障移动办公设备正常运行。该项目预算340.03万元。</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部门、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tabs>
          <w:tab w:val="left" w:pos="3885"/>
        </w:tabs>
        <w:snapToGrid w:val="0"/>
        <w:spacing w:line="600" w:lineRule="exact"/>
        <w:ind w:left="420" w:leftChars="20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该项目我校自评得分87.1分。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szCs w:val="21"/>
        </w:rPr>
      </w:pPr>
      <w:r>
        <w:rPr>
          <w:rFonts w:hint="eastAsia" w:ascii="仿宋_GB2312" w:hAnsi="仿宋_GB2312" w:eastAsia="仿宋_GB2312" w:cs="仿宋_GB2312"/>
          <w:sz w:val="32"/>
          <w:szCs w:val="32"/>
        </w:rPr>
        <w:t>该项目的设立经过评估论证并与我校职责相符，与相关部门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在项目执行中，我校开展了预算绩效监控，对项目绩效运行情况进行了统计、分析、预测。项目的实施严格执行相关制度规定，资金使用符合相关的财务管理制度规定。该项目年终预算执行率为51.5%。</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项目设定数量指标9个，完成指标9个；设定质量指标3个，完成指标3个；设定成本指标1个，完成指标1个；设定时效指标1个，未完成该指标。</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该项目按照相关统一规定，项目结项日期为2021年12月31日，故设定的时效指标未完成，其余绩效目标均已完成。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受政策及现实条件等客观因素影响，部分设备到货时间为年底，只能于次年1月统一组织验收后支付款项，故当年预算执行进度不够高。</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加强对项目开展情况的预判与项目实施进度的督促，</w:t>
      </w:r>
      <w:r>
        <w:rPr>
          <w:rFonts w:hint="eastAsia" w:ascii="仿宋_GB2312" w:hAnsi="仿宋_GB2312" w:eastAsia="仿宋_GB2312" w:cs="仿宋_GB2312"/>
          <w:sz w:val="32"/>
          <w:szCs w:val="32"/>
          <w:lang w:val="zh-CN"/>
        </w:rPr>
        <w:t>加快预算执行进度，</w:t>
      </w:r>
      <w:r>
        <w:rPr>
          <w:rFonts w:hint="eastAsia" w:ascii="仿宋_GB2312" w:hAnsi="仿宋_GB2312" w:eastAsia="仿宋_GB2312" w:cs="仿宋_GB2312"/>
          <w:sz w:val="32"/>
          <w:szCs w:val="32"/>
        </w:rPr>
        <w:t>进一步提高预算执行率</w:t>
      </w:r>
      <w:r>
        <w:rPr>
          <w:rFonts w:hint="eastAsia" w:ascii="仿宋_GB2312" w:hAnsi="仿宋_GB2312" w:eastAsia="仿宋_GB2312" w:cs="仿宋_GB2312"/>
          <w:sz w:val="32"/>
          <w:szCs w:val="32"/>
          <w:lang w:val="zh-CN"/>
        </w:rPr>
        <w:t>。</w:t>
      </w:r>
    </w:p>
    <w:p>
      <w:pPr>
        <w:snapToGrid w:val="0"/>
        <w:spacing w:line="600" w:lineRule="exact"/>
        <w:ind w:firstLine="640" w:firstLineChars="200"/>
        <w:rPr>
          <w:rFonts w:ascii="仿宋_GB2312" w:hAnsi="仿宋_GB2312" w:eastAsia="仿宋_GB2312" w:cs="仿宋_GB2312"/>
          <w:sz w:val="32"/>
          <w:szCs w:val="32"/>
          <w:lang w:val="zh-CN"/>
        </w:rPr>
      </w:pPr>
    </w:p>
    <w:p>
      <w:pPr>
        <w:snapToGrid w:val="0"/>
        <w:spacing w:line="600" w:lineRule="exact"/>
        <w:ind w:firstLine="420" w:firstLineChars="200"/>
        <w:rPr>
          <w:lang w:val="zh-CN"/>
        </w:rPr>
      </w:pP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部门预算项目支出绩效自评报告</w:t>
      </w:r>
    </w:p>
    <w:p>
      <w:pPr>
        <w:snapToGrid w:val="0"/>
        <w:spacing w:line="600" w:lineRule="exact"/>
        <w:ind w:firstLine="2560" w:firstLineChars="800"/>
        <w:rPr>
          <w:rFonts w:ascii="仿宋_GB2312" w:hAnsi="仿宋_GB2312" w:eastAsia="仿宋_GB2312" w:cs="仿宋_GB2312"/>
          <w:sz w:val="32"/>
          <w:szCs w:val="32"/>
        </w:rPr>
      </w:pPr>
      <w:r>
        <w:rPr>
          <w:rFonts w:hint="eastAsia" w:ascii="仿宋_GB2312" w:hAnsi="仿宋_GB2312" w:eastAsia="仿宋_GB2312" w:cs="仿宋_GB2312"/>
          <w:sz w:val="32"/>
          <w:szCs w:val="32"/>
        </w:rPr>
        <w:t>（设备购置经费项目）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一、基本情况</w:t>
      </w:r>
    </w:p>
    <w:p>
      <w:pPr>
        <w:snapToGrid w:val="0"/>
        <w:spacing w:line="640" w:lineRule="exact"/>
        <w:ind w:firstLine="640" w:firstLineChars="200"/>
        <w:rPr>
          <w:rFonts w:ascii="仿宋_GB2312" w:hAnsi="仿宋"/>
        </w:rPr>
      </w:pPr>
      <w:r>
        <w:rPr>
          <w:rFonts w:hint="eastAsia" w:ascii="仿宋_GB2312" w:hAnsi="仿宋_GB2312" w:eastAsia="仿宋_GB2312" w:cs="仿宋_GB2312"/>
          <w:sz w:val="32"/>
          <w:szCs w:val="32"/>
        </w:rPr>
        <w:t>该项目用于我校办公设备及教学设施的补充、完善、更新。通过项目实施，保障我校日常教学与管理工作正常开展，改善办学条件，促进我校办学能力进一步提升。该项目预算341.35万元。</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部门、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该项目我校自评得分90.5分。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设立经过评估论证，并与我校职责相符，与相关部门同类项目或我校内部项目不重复，属于公共财政支持范围。项目规划符合省委、省政府重大决策部署，与项目年度目标一致。项目绩效目标编制完整且细化量化。</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项目的实施严格执行相关制度规定，资金使用符合相关的财务管理制度规定。因涉及跨年支付，该项目年终预算执行率为44%。</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项目设定数量指标1个，完成绩效目标1个；设定质量指标2个，完成绩效目标2个；设定时效指标1个，完成绩效目标1个。</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项目设定的工作任务均已完成，项目设定的社会效益指标、可持续影响指标均已完成。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受政策及现实条件等客观因素影响，部分设备款需跨年支付，导致预算执行进度偏低。</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40" w:lineRule="exact"/>
        <w:ind w:firstLine="640" w:firstLineChars="200"/>
        <w:rPr>
          <w:lang w:val="zh-CN"/>
        </w:rPr>
      </w:pPr>
      <w:r>
        <w:rPr>
          <w:rFonts w:hint="eastAsia" w:ascii="仿宋_GB2312" w:hAnsi="仿宋_GB2312" w:eastAsia="仿宋_GB2312" w:cs="仿宋_GB2312"/>
          <w:sz w:val="32"/>
          <w:szCs w:val="32"/>
        </w:rPr>
        <w:t>加强对项目实施进度的监控，督促</w:t>
      </w:r>
      <w:r>
        <w:rPr>
          <w:rFonts w:hint="eastAsia" w:ascii="仿宋_GB2312" w:hAnsi="仿宋_GB2312" w:eastAsia="仿宋_GB2312" w:cs="仿宋_GB2312"/>
          <w:sz w:val="32"/>
          <w:szCs w:val="32"/>
          <w:lang w:val="zh-CN"/>
        </w:rPr>
        <w:t>加快预算执行进度，</w:t>
      </w:r>
      <w:r>
        <w:rPr>
          <w:rFonts w:hint="eastAsia" w:ascii="仿宋_GB2312" w:hAnsi="仿宋_GB2312" w:eastAsia="仿宋_GB2312" w:cs="仿宋_GB2312"/>
          <w:sz w:val="32"/>
          <w:szCs w:val="32"/>
        </w:rPr>
        <w:t>进一步提高预算执行率</w:t>
      </w:r>
      <w:r>
        <w:rPr>
          <w:rFonts w:hint="eastAsia" w:ascii="仿宋_GB2312" w:hAnsi="仿宋_GB2312" w:eastAsia="仿宋_GB2312" w:cs="仿宋_GB2312"/>
          <w:sz w:val="32"/>
          <w:szCs w:val="32"/>
          <w:lang w:val="zh-CN"/>
        </w:rPr>
        <w:t>。</w:t>
      </w: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部门预算项目支出绩效自评报告</w:t>
      </w:r>
    </w:p>
    <w:p>
      <w:pPr>
        <w:snapToGrid w:val="0"/>
        <w:spacing w:line="600" w:lineRule="exact"/>
        <w:ind w:firstLine="1920" w:firstLineChars="600"/>
        <w:rPr>
          <w:rFonts w:ascii="仿宋_GB2312" w:hAnsi="仿宋_GB2312" w:eastAsia="仿宋_GB2312" w:cs="仿宋_GB2312"/>
          <w:sz w:val="32"/>
          <w:szCs w:val="32"/>
        </w:rPr>
      </w:pPr>
      <w:r>
        <w:rPr>
          <w:rFonts w:hint="eastAsia" w:ascii="仿宋_GB2312" w:hAnsi="仿宋_GB2312" w:eastAsia="仿宋_GB2312" w:cs="仿宋_GB2312"/>
          <w:sz w:val="32"/>
          <w:szCs w:val="32"/>
        </w:rPr>
        <w:t>（科研和学科建设费项目）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rPr>
        <w:t>一、基本情况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主要用于校级课题、决策咨询课题的研究，科研精品的资助，提升我校科研和学术影响力。为省委省政府提供政策建议意见，有效发挥党校智库作用。完成《机关干部新时代治蜀兴川能力素养专题研究》编辑出版的后期工作。该项目预算113.8万元。</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绩效运行监控工作。因2020年新冠疫情对社会与经济的发展造成了较大影响，我校积极发挥党校智库作用，申报相关课题及政策建议意见数量较预期大量增加，获得省领导的批示也较预期大量增加，因此对相关数量指标值进行了调增。</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部门、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该项目我校自评得分95.2分。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tabs>
          <w:tab w:val="left" w:pos="3885"/>
        </w:tabs>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我校常年的科研资政、学科建设项目。项目的设立经过评估论证，并与我校职责相符，与相关部门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调整，并落实绩效监控结果应用。项目的实施严格执行相关制度规定，资金使用符合相关的财务管理制度规定。该项目年终预算执行率为96.2%。</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项目设定数量指标4个，完成绩效目标2个，另有2个绩效目标超30%完成；设定质量指标1个，完成绩效目标1个；设定成本指标2个，完成绩效目标2个；设定效益指标3个，完成绩效目标3个。</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szCs w:val="21"/>
        </w:rPr>
      </w:pPr>
      <w:r>
        <w:rPr>
          <w:rFonts w:hint="eastAsia" w:ascii="仿宋_GB2312" w:hAnsi="仿宋_GB2312" w:eastAsia="仿宋_GB2312" w:cs="仿宋_GB2312"/>
          <w:sz w:val="32"/>
          <w:szCs w:val="32"/>
        </w:rPr>
        <w:t>项目设定的工作任务均已完成，设定的社会效益指标、可持续影响指标均已完成</w:t>
      </w:r>
      <w:r>
        <w:rPr>
          <w:rFonts w:hint="eastAsia"/>
          <w:szCs w:val="21"/>
        </w:rPr>
        <w:t>。</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科研决策资政建议意见数量以及科研、教学人员课题的完成情况不确定因素较大，设置的“校级课题”、“为省委省政府提供政策建议意见”年底实际完成的数量超出原定目标的30%。我校对该项目绩效数量指标的量化准确性还不够高，绩效目标设置还不够科学。</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snapToGrid w:val="0"/>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加强对科研课题执行情况的预判，科学设置预算绩效目标编，进一步提升绩效目标编制的准确性</w:t>
      </w:r>
      <w:r>
        <w:rPr>
          <w:rFonts w:hint="eastAsia" w:ascii="仿宋_GB2312" w:hAnsi="仿宋_GB2312" w:eastAsia="仿宋_GB2312" w:cs="仿宋_GB2312"/>
          <w:sz w:val="32"/>
          <w:szCs w:val="32"/>
          <w:lang w:val="zh-CN"/>
        </w:rPr>
        <w:t>。</w:t>
      </w:r>
    </w:p>
    <w:p>
      <w:pPr>
        <w:snapToGrid w:val="0"/>
        <w:spacing w:line="600" w:lineRule="exact"/>
        <w:jc w:val="center"/>
        <w:rPr>
          <w:rFonts w:ascii="方正小标宋简体" w:hAnsi="宋体" w:eastAsia="方正小标宋简体"/>
          <w:sz w:val="44"/>
          <w:szCs w:val="44"/>
        </w:rPr>
      </w:pPr>
    </w:p>
    <w:p>
      <w:pPr>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部门预算项目支出绩效自评报告</w:t>
      </w:r>
    </w:p>
    <w:p>
      <w:pPr>
        <w:snapToGrid w:val="0"/>
        <w:spacing w:line="600" w:lineRule="exact"/>
        <w:ind w:firstLine="2560" w:firstLineChars="800"/>
        <w:rPr>
          <w:rFonts w:ascii="仿宋_GB2312" w:hAnsi="仿宋_GB2312" w:eastAsia="仿宋_GB2312" w:cs="仿宋_GB2312"/>
          <w:sz w:val="32"/>
          <w:szCs w:val="32"/>
        </w:rPr>
      </w:pPr>
      <w:r>
        <w:rPr>
          <w:rFonts w:hint="eastAsia" w:ascii="仿宋_GB2312" w:hAnsi="仿宋_GB2312" w:eastAsia="仿宋_GB2312" w:cs="仿宋_GB2312"/>
          <w:sz w:val="32"/>
          <w:szCs w:val="32"/>
        </w:rPr>
        <w:t>（新校区建设项目）</w:t>
      </w:r>
    </w:p>
    <w:p>
      <w:pPr>
        <w:tabs>
          <w:tab w:val="left" w:pos="3885"/>
        </w:tabs>
        <w:snapToGrid w:val="0"/>
        <w:spacing w:line="600" w:lineRule="exact"/>
        <w:ind w:firstLine="422" w:firstLineChars="200"/>
        <w:jc w:val="left"/>
        <w:rPr>
          <w:rFonts w:ascii="宋体" w:hAnsi="宋体"/>
          <w:b/>
          <w:szCs w:val="21"/>
        </w:rPr>
      </w:pPr>
    </w:p>
    <w:p>
      <w:pPr>
        <w:tabs>
          <w:tab w:val="left" w:pos="3885"/>
        </w:tabs>
        <w:snapToGrid w:val="0"/>
        <w:spacing w:line="600" w:lineRule="exact"/>
        <w:ind w:firstLine="640" w:firstLineChars="200"/>
        <w:rPr>
          <w:rFonts w:eastAsia="黑体"/>
          <w:sz w:val="32"/>
          <w:szCs w:val="32"/>
        </w:rPr>
      </w:pPr>
      <w:r>
        <w:rPr>
          <w:rFonts w:hint="eastAsia" w:eastAsia="黑体"/>
          <w:sz w:val="32"/>
          <w:szCs w:val="32"/>
          <w:lang w:eastAsia="zh-CN"/>
        </w:rPr>
        <w:t>一、</w:t>
      </w:r>
      <w:r>
        <w:rPr>
          <w:rFonts w:hint="eastAsia" w:eastAsia="黑体"/>
          <w:sz w:val="32"/>
          <w:szCs w:val="32"/>
        </w:rPr>
        <w:t>基本情况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校拟建设一所与四川经济社会发展形势相匹配、与我省大规模培训干部任务相适应的功能完善、设施配套、布局合理的现代化新校园。总体建设内容包括教学培训中心、学术信息中心、学员活动中心、行政管理中心和学员生活服务区及生态园区等。为推进项目前期准备工作开展，我校成立了新校区工作专办，项目年初预算2040万元，用于设计咨询费及预计部分划拨土地成本费。</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在项目执行中，我校开展了绩效运行监控工作，根据前期项目的实际推进情况，对绩效目标和预算资金进行了调整。调减后项目金额为40万元，用于支付可行性研究报告咨询服务、资料费等。具体调整情况如下：</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（一）调减划拨土地成本费预算2000万元。原因：我校原计划在非财政拨款结余中安排一部分预算用于支付划拨土地的费用。后经省领导同意，划拨土地的费用全部由发改委的基本建设资金予以保障。</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调整“占用土地数量指标”和“划拨土地成本指标”。原因：因资金筹措方式变化需相应调整预算和相关绩效目标，同时根据成都市委市政府关于我校新校区建设用地相关会议文件，确定了最终的土地供应数量为70亩，划拨土地价格为150万元/亩。</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二、评价工作开展情况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财政厅《关于开展2021年部门、政策和项目支出绩效评价工作的通知》（川财绩〔2021〕6号）要求，我校高度重视，立即组织相关人员开展了项目支出绩效评价工作。我校从项目决策、项目和资金管理、项目产出和效益情况四个方面，按照13个预算项目支出评价指标，同时对照该项目设定的绩效目标，根据项目实际完成情况逐一对标进行打分评价。</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三、综合评价结论</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该项目我校自评得分88.3分。</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四、绩效评价分析</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推进项目开展，我校成立了新校区工作专办，全程参与新校区建设项目的实施。项目的设立经过评估论证，并与我校职责相符，与相关部门同类项目或我校内部项目不重复，属于公共财政支持范围。项目规划符合省委、省政府重大决策部署，与项目年度目标一致。项目绩效目标编制完整且细化量化。</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执行中，我校开展了预算绩效监控，对项目绩效运行情况进行了统计、分析、预测、调整，积极落实绩效监控结果应用。项目的实施严格执行相关制度规定，资金使用符合相关的财务管理制度规定。该项目年终预算执行率为42%。</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项目设定数量指标2个，完成了1个数量指标，其中1个数量指标进行了调减；项目设定的成本指标1个，完成了该指标绩效；项目设定的时效指标2个，完成了该指标绩效。</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绩效目标中有1项数量指标未完成，其余绩效目标均已完成，项目设定的社会效益指标均已完成。</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五、存在主要问题</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因该项目处于前期准备阶段，尚未正式立项，受政策及现实条件等客观因素影响，我校对该项目相关情况的预判还不够准确，故预算编制的准确性和执行进度还不够高。</w:t>
      </w:r>
    </w:p>
    <w:p>
      <w:pPr>
        <w:tabs>
          <w:tab w:val="left" w:pos="3885"/>
        </w:tabs>
        <w:snapToGrid w:val="0"/>
        <w:spacing w:line="600" w:lineRule="exact"/>
        <w:ind w:firstLine="640" w:firstLineChars="200"/>
        <w:rPr>
          <w:rFonts w:eastAsia="黑体"/>
          <w:sz w:val="32"/>
          <w:szCs w:val="32"/>
        </w:rPr>
      </w:pPr>
      <w:r>
        <w:rPr>
          <w:rFonts w:hint="eastAsia" w:eastAsia="黑体"/>
          <w:sz w:val="32"/>
          <w:szCs w:val="32"/>
        </w:rPr>
        <w:t>六、相关措施建议</w:t>
      </w:r>
    </w:p>
    <w:p>
      <w:pPr>
        <w:pStyle w:val="2"/>
        <w:spacing w:before="93"/>
      </w:pPr>
      <w:r>
        <w:rPr>
          <w:rFonts w:hint="eastAsia" w:hAnsi="仿宋_GB2312" w:cs="仿宋_GB2312"/>
          <w:sz w:val="32"/>
          <w:szCs w:val="32"/>
        </w:rPr>
        <w:t>加强对项目开展情况的预判，进一步提升预算编制的准确性。加强对项目实施进度的监管，</w:t>
      </w:r>
      <w:r>
        <w:rPr>
          <w:rFonts w:hint="eastAsia" w:hAnsi="仿宋_GB2312" w:cs="仿宋_GB2312"/>
          <w:sz w:val="32"/>
          <w:szCs w:val="32"/>
          <w:lang w:val="zh-CN"/>
        </w:rPr>
        <w:t>加快预算执行进度，</w:t>
      </w:r>
      <w:r>
        <w:rPr>
          <w:rFonts w:hint="eastAsia" w:hAnsi="仿宋_GB2312" w:cs="仿宋_GB2312"/>
          <w:sz w:val="32"/>
          <w:szCs w:val="32"/>
        </w:rPr>
        <w:t>进一步提高预算执行率</w:t>
      </w:r>
      <w:r>
        <w:rPr>
          <w:rFonts w:hint="eastAsia" w:hAnsi="仿宋_GB2312" w:cs="仿宋_GB2312"/>
          <w:sz w:val="32"/>
          <w:szCs w:val="32"/>
          <w:lang w:val="zh-CN"/>
        </w:rPr>
        <w:t>。</w:t>
      </w:r>
    </w:p>
    <w:p>
      <w:pPr>
        <w:widowControl/>
        <w:jc w:val="left"/>
        <w:outlineLvl w:val="1"/>
        <w:rPr>
          <w:rStyle w:val="24"/>
          <w:rFonts w:ascii="黑体" w:hAnsi="黑体" w:eastAsia="黑体"/>
          <w:b w:val="0"/>
        </w:rPr>
      </w:pPr>
    </w:p>
    <w:p>
      <w:pPr>
        <w:widowControl/>
        <w:jc w:val="left"/>
        <w:outlineLvl w:val="1"/>
        <w:rPr>
          <w:rStyle w:val="24"/>
          <w:rFonts w:ascii="黑体" w:hAnsi="黑体" w:eastAsia="黑体"/>
          <w:b w:val="0"/>
        </w:rPr>
      </w:pPr>
      <w:r>
        <w:rPr>
          <w:rStyle w:val="24"/>
          <w:rFonts w:ascii="黑体" w:hAnsi="黑体" w:eastAsia="黑体"/>
          <w:b w:val="0"/>
        </w:rPr>
        <w:br w:type="page"/>
      </w:r>
    </w:p>
    <w:p>
      <w:pPr>
        <w:widowControl/>
        <w:jc w:val="left"/>
        <w:outlineLvl w:val="1"/>
        <w:rPr>
          <w:rStyle w:val="24"/>
          <w:rFonts w:ascii="黑体" w:hAnsi="黑体" w:eastAsia="黑体"/>
          <w:b w:val="0"/>
        </w:rPr>
      </w:pPr>
    </w:p>
    <w:p>
      <w:pPr>
        <w:spacing w:line="600" w:lineRule="exact"/>
        <w:jc w:val="center"/>
        <w:outlineLvl w:val="1"/>
        <w:rPr>
          <w:rFonts w:ascii="仿宋" w:hAnsi="仿宋" w:eastAsia="仿宋"/>
        </w:rPr>
      </w:pPr>
      <w:bookmarkStart w:id="187" w:name="_Toc15396618"/>
      <w:bookmarkStart w:id="188" w:name="_Toc21388"/>
      <w:r>
        <w:rPr>
          <w:rFonts w:hint="eastAsia" w:ascii="黑体" w:hAnsi="黑体" w:eastAsia="黑体"/>
          <w:sz w:val="44"/>
          <w:szCs w:val="44"/>
        </w:rPr>
        <w:t>第</w:t>
      </w:r>
      <w:r>
        <w:rPr>
          <w:rStyle w:val="24"/>
          <w:rFonts w:hint="eastAsia" w:ascii="黑体" w:hAnsi="黑体" w:eastAsia="黑体"/>
          <w:b w:val="0"/>
        </w:rPr>
        <w:t>五部分 附表</w:t>
      </w:r>
      <w:bookmarkEnd w:id="131"/>
      <w:bookmarkEnd w:id="187"/>
      <w:bookmarkEnd w:id="188"/>
      <w:bookmarkStart w:id="189" w:name="_Toc15396619"/>
    </w:p>
    <w:p>
      <w:pPr>
        <w:pStyle w:val="4"/>
        <w:rPr>
          <w:rFonts w:ascii="仿宋" w:hAnsi="仿宋" w:eastAsia="仿宋"/>
        </w:rPr>
      </w:pPr>
      <w:bookmarkStart w:id="190" w:name="_Toc10307"/>
      <w:r>
        <w:rPr>
          <w:rFonts w:hint="eastAsia" w:ascii="仿宋" w:hAnsi="仿宋" w:eastAsia="仿宋"/>
          <w:b w:val="0"/>
        </w:rPr>
        <w:t>一、收</w:t>
      </w:r>
      <w:r>
        <w:rPr>
          <w:rStyle w:val="25"/>
          <w:rFonts w:hint="eastAsia" w:ascii="仿宋" w:hAnsi="仿宋" w:eastAsia="仿宋"/>
          <w:b w:val="0"/>
          <w:bCs w:val="0"/>
        </w:rPr>
        <w:t>入支出决算总表</w:t>
      </w:r>
      <w:bookmarkEnd w:id="189"/>
      <w:bookmarkEnd w:id="190"/>
    </w:p>
    <w:p>
      <w:pPr>
        <w:pStyle w:val="4"/>
        <w:rPr>
          <w:rFonts w:ascii="仿宋" w:hAnsi="仿宋" w:eastAsia="仿宋"/>
        </w:rPr>
      </w:pPr>
      <w:bookmarkStart w:id="191" w:name="_Toc15396620"/>
      <w:bookmarkStart w:id="192" w:name="_Toc22475"/>
      <w:r>
        <w:rPr>
          <w:rFonts w:hint="eastAsia" w:ascii="仿宋" w:hAnsi="仿宋" w:eastAsia="仿宋"/>
          <w:b w:val="0"/>
        </w:rPr>
        <w:t>二、收</w:t>
      </w:r>
      <w:r>
        <w:rPr>
          <w:rStyle w:val="25"/>
          <w:rFonts w:hint="eastAsia" w:ascii="仿宋" w:hAnsi="仿宋" w:eastAsia="仿宋"/>
          <w:b w:val="0"/>
          <w:bCs w:val="0"/>
        </w:rPr>
        <w:t>入决算表</w:t>
      </w:r>
      <w:bookmarkEnd w:id="191"/>
      <w:bookmarkEnd w:id="192"/>
    </w:p>
    <w:p>
      <w:pPr>
        <w:pStyle w:val="4"/>
        <w:rPr>
          <w:rFonts w:ascii="仿宋" w:hAnsi="仿宋" w:eastAsia="仿宋"/>
        </w:rPr>
      </w:pPr>
      <w:bookmarkStart w:id="193" w:name="_Toc15396621"/>
      <w:bookmarkStart w:id="194" w:name="_Toc16728"/>
      <w:r>
        <w:rPr>
          <w:rStyle w:val="25"/>
          <w:rFonts w:hint="eastAsia" w:ascii="仿宋" w:hAnsi="仿宋" w:eastAsia="仿宋"/>
          <w:b w:val="0"/>
          <w:bCs w:val="0"/>
        </w:rPr>
        <w:t>三、</w:t>
      </w:r>
      <w:r>
        <w:rPr>
          <w:rFonts w:hint="eastAsia" w:ascii="仿宋" w:hAnsi="仿宋" w:eastAsia="仿宋"/>
          <w:b w:val="0"/>
        </w:rPr>
        <w:t>支</w:t>
      </w:r>
      <w:r>
        <w:rPr>
          <w:rStyle w:val="25"/>
          <w:rFonts w:hint="eastAsia" w:ascii="仿宋" w:hAnsi="仿宋" w:eastAsia="仿宋"/>
          <w:b w:val="0"/>
          <w:bCs w:val="0"/>
        </w:rPr>
        <w:t>出决算表</w:t>
      </w:r>
      <w:bookmarkEnd w:id="193"/>
      <w:bookmarkEnd w:id="194"/>
    </w:p>
    <w:p>
      <w:pPr>
        <w:pStyle w:val="4"/>
        <w:rPr>
          <w:rFonts w:ascii="仿宋" w:hAnsi="仿宋" w:eastAsia="仿宋"/>
          <w:b w:val="0"/>
        </w:rPr>
      </w:pPr>
      <w:bookmarkStart w:id="195" w:name="_Toc15396622"/>
      <w:bookmarkStart w:id="196" w:name="_Toc22707"/>
      <w:r>
        <w:rPr>
          <w:rStyle w:val="25"/>
          <w:rFonts w:hint="eastAsia" w:ascii="仿宋" w:hAnsi="仿宋" w:eastAsia="仿宋"/>
          <w:b w:val="0"/>
          <w:bCs w:val="0"/>
        </w:rPr>
        <w:t>四、</w:t>
      </w:r>
      <w:r>
        <w:rPr>
          <w:rFonts w:hint="eastAsia" w:ascii="仿宋" w:hAnsi="仿宋" w:eastAsia="仿宋"/>
          <w:b w:val="0"/>
        </w:rPr>
        <w:t>财</w:t>
      </w:r>
      <w:r>
        <w:rPr>
          <w:rStyle w:val="25"/>
          <w:rFonts w:hint="eastAsia" w:ascii="仿宋" w:hAnsi="仿宋" w:eastAsia="仿宋"/>
          <w:b w:val="0"/>
          <w:bCs w:val="0"/>
        </w:rPr>
        <w:t>政拨款收入支出决算总表</w:t>
      </w:r>
      <w:bookmarkEnd w:id="195"/>
      <w:bookmarkEnd w:id="196"/>
    </w:p>
    <w:p>
      <w:pPr>
        <w:pStyle w:val="4"/>
        <w:rPr>
          <w:rStyle w:val="25"/>
          <w:rFonts w:ascii="仿宋" w:hAnsi="仿宋" w:eastAsia="仿宋"/>
          <w:b w:val="0"/>
          <w:bCs w:val="0"/>
        </w:rPr>
      </w:pPr>
      <w:bookmarkStart w:id="197" w:name="_Toc15396623"/>
      <w:bookmarkStart w:id="198" w:name="_Toc8522"/>
      <w:r>
        <w:rPr>
          <w:rStyle w:val="25"/>
          <w:rFonts w:hint="eastAsia" w:ascii="仿宋" w:hAnsi="仿宋" w:eastAsia="仿宋"/>
          <w:b w:val="0"/>
          <w:bCs w:val="0"/>
        </w:rPr>
        <w:t>五、</w:t>
      </w:r>
      <w:r>
        <w:rPr>
          <w:rFonts w:hint="eastAsia" w:ascii="仿宋" w:hAnsi="仿宋" w:eastAsia="仿宋"/>
          <w:b w:val="0"/>
        </w:rPr>
        <w:t>财</w:t>
      </w:r>
      <w:r>
        <w:rPr>
          <w:rStyle w:val="25"/>
          <w:rFonts w:hint="eastAsia" w:ascii="仿宋" w:hAnsi="仿宋" w:eastAsia="仿宋"/>
          <w:b w:val="0"/>
          <w:bCs w:val="0"/>
        </w:rPr>
        <w:t>政拨款支出决算明细表</w:t>
      </w:r>
      <w:bookmarkEnd w:id="197"/>
      <w:bookmarkEnd w:id="198"/>
      <w:bookmarkStart w:id="199" w:name="_Toc15396624"/>
    </w:p>
    <w:p>
      <w:pPr>
        <w:pStyle w:val="4"/>
        <w:rPr>
          <w:rFonts w:ascii="仿宋" w:hAnsi="仿宋" w:eastAsia="仿宋"/>
        </w:rPr>
      </w:pPr>
      <w:bookmarkStart w:id="200" w:name="_Toc15231"/>
      <w:r>
        <w:rPr>
          <w:rStyle w:val="25"/>
          <w:rFonts w:hint="eastAsia" w:ascii="仿宋" w:hAnsi="仿宋" w:eastAsia="仿宋"/>
          <w:b w:val="0"/>
          <w:bCs w:val="0"/>
        </w:rPr>
        <w:t>六、</w:t>
      </w:r>
      <w:r>
        <w:rPr>
          <w:rFonts w:hint="eastAsia" w:ascii="仿宋" w:hAnsi="仿宋" w:eastAsia="仿宋"/>
          <w:b w:val="0"/>
        </w:rPr>
        <w:t>一</w:t>
      </w:r>
      <w:r>
        <w:rPr>
          <w:rStyle w:val="25"/>
          <w:rFonts w:hint="eastAsia" w:ascii="仿宋" w:hAnsi="仿宋" w:eastAsia="仿宋"/>
          <w:b w:val="0"/>
          <w:bCs w:val="0"/>
        </w:rPr>
        <w:t>般公共预算财政拨款支出决算表</w:t>
      </w:r>
      <w:bookmarkEnd w:id="199"/>
      <w:bookmarkEnd w:id="200"/>
    </w:p>
    <w:p>
      <w:pPr>
        <w:pStyle w:val="4"/>
        <w:rPr>
          <w:rFonts w:ascii="仿宋" w:hAnsi="仿宋" w:eastAsia="仿宋"/>
        </w:rPr>
      </w:pPr>
      <w:bookmarkStart w:id="201" w:name="_Toc15396625"/>
      <w:bookmarkStart w:id="202" w:name="_Toc25316"/>
      <w:r>
        <w:rPr>
          <w:rStyle w:val="25"/>
          <w:rFonts w:hint="eastAsia" w:ascii="仿宋" w:hAnsi="仿宋" w:eastAsia="仿宋"/>
          <w:b w:val="0"/>
          <w:bCs w:val="0"/>
        </w:rPr>
        <w:t>七、</w:t>
      </w:r>
      <w:r>
        <w:rPr>
          <w:rFonts w:hint="eastAsia" w:ascii="仿宋" w:hAnsi="仿宋" w:eastAsia="仿宋"/>
          <w:b w:val="0"/>
        </w:rPr>
        <w:t>一</w:t>
      </w:r>
      <w:r>
        <w:rPr>
          <w:rStyle w:val="25"/>
          <w:rFonts w:hint="eastAsia" w:ascii="仿宋" w:hAnsi="仿宋" w:eastAsia="仿宋"/>
          <w:b w:val="0"/>
          <w:bCs w:val="0"/>
        </w:rPr>
        <w:t>般公共预算财政拨款支出决算明细表</w:t>
      </w:r>
      <w:bookmarkEnd w:id="201"/>
      <w:bookmarkEnd w:id="202"/>
    </w:p>
    <w:p>
      <w:pPr>
        <w:pStyle w:val="4"/>
        <w:rPr>
          <w:rFonts w:ascii="仿宋" w:hAnsi="仿宋" w:eastAsia="仿宋"/>
        </w:rPr>
      </w:pPr>
      <w:bookmarkStart w:id="203" w:name="_Toc15396626"/>
      <w:bookmarkStart w:id="204" w:name="_Toc14152"/>
      <w:r>
        <w:rPr>
          <w:rStyle w:val="25"/>
          <w:rFonts w:hint="eastAsia" w:ascii="仿宋" w:hAnsi="仿宋" w:eastAsia="仿宋"/>
          <w:b w:val="0"/>
          <w:bCs w:val="0"/>
        </w:rPr>
        <w:t>八、</w:t>
      </w:r>
      <w:r>
        <w:rPr>
          <w:rFonts w:hint="eastAsia" w:ascii="仿宋" w:hAnsi="仿宋" w:eastAsia="仿宋"/>
          <w:b w:val="0"/>
        </w:rPr>
        <w:t>一</w:t>
      </w:r>
      <w:r>
        <w:rPr>
          <w:rStyle w:val="25"/>
          <w:rFonts w:hint="eastAsia" w:ascii="仿宋" w:hAnsi="仿宋" w:eastAsia="仿宋"/>
          <w:b w:val="0"/>
          <w:bCs w:val="0"/>
        </w:rPr>
        <w:t>般公共预算财政拨款基本支出决算表</w:t>
      </w:r>
      <w:bookmarkEnd w:id="203"/>
      <w:bookmarkEnd w:id="204"/>
    </w:p>
    <w:p>
      <w:pPr>
        <w:pStyle w:val="4"/>
        <w:rPr>
          <w:rFonts w:ascii="仿宋" w:hAnsi="仿宋" w:eastAsia="仿宋"/>
        </w:rPr>
      </w:pPr>
      <w:bookmarkStart w:id="205" w:name="_Toc15396627"/>
      <w:bookmarkStart w:id="206" w:name="_Toc22543"/>
      <w:r>
        <w:rPr>
          <w:rStyle w:val="25"/>
          <w:rFonts w:hint="eastAsia" w:ascii="仿宋" w:hAnsi="仿宋" w:eastAsia="仿宋"/>
          <w:b w:val="0"/>
          <w:bCs w:val="0"/>
        </w:rPr>
        <w:t>九、</w:t>
      </w:r>
      <w:r>
        <w:rPr>
          <w:rFonts w:hint="eastAsia" w:ascii="仿宋" w:hAnsi="仿宋" w:eastAsia="仿宋"/>
          <w:b w:val="0"/>
        </w:rPr>
        <w:t>一</w:t>
      </w:r>
      <w:r>
        <w:rPr>
          <w:rStyle w:val="25"/>
          <w:rFonts w:hint="eastAsia" w:ascii="仿宋" w:hAnsi="仿宋" w:eastAsia="仿宋"/>
          <w:b w:val="0"/>
          <w:bCs w:val="0"/>
        </w:rPr>
        <w:t>般公共预算财政拨款项目支出决算表</w:t>
      </w:r>
      <w:bookmarkEnd w:id="205"/>
      <w:bookmarkEnd w:id="206"/>
    </w:p>
    <w:p>
      <w:pPr>
        <w:pStyle w:val="4"/>
        <w:rPr>
          <w:rFonts w:ascii="仿宋" w:hAnsi="仿宋" w:eastAsia="仿宋"/>
        </w:rPr>
      </w:pPr>
      <w:bookmarkStart w:id="207" w:name="_Toc15396628"/>
      <w:bookmarkStart w:id="208" w:name="_Toc2837"/>
      <w:r>
        <w:rPr>
          <w:rStyle w:val="25"/>
          <w:rFonts w:hint="eastAsia" w:ascii="仿宋" w:hAnsi="仿宋" w:eastAsia="仿宋"/>
          <w:b w:val="0"/>
          <w:bCs w:val="0"/>
        </w:rPr>
        <w:t>十、</w:t>
      </w:r>
      <w:r>
        <w:rPr>
          <w:rFonts w:hint="eastAsia" w:ascii="仿宋" w:hAnsi="仿宋" w:eastAsia="仿宋"/>
          <w:b w:val="0"/>
        </w:rPr>
        <w:t>一</w:t>
      </w:r>
      <w:r>
        <w:rPr>
          <w:rStyle w:val="25"/>
          <w:rFonts w:hint="eastAsia" w:ascii="仿宋" w:hAnsi="仿宋" w:eastAsia="仿宋"/>
          <w:b w:val="0"/>
          <w:bCs w:val="0"/>
        </w:rPr>
        <w:t>般公共预算财政拨款“三公”经费支出决算表</w:t>
      </w:r>
      <w:bookmarkEnd w:id="207"/>
      <w:bookmarkEnd w:id="208"/>
    </w:p>
    <w:p>
      <w:pPr>
        <w:pStyle w:val="4"/>
        <w:rPr>
          <w:rFonts w:ascii="仿宋" w:hAnsi="仿宋" w:eastAsia="仿宋"/>
        </w:rPr>
      </w:pPr>
      <w:bookmarkStart w:id="209" w:name="_Toc15396629"/>
      <w:bookmarkStart w:id="210" w:name="_Toc9316"/>
      <w:r>
        <w:rPr>
          <w:rStyle w:val="25"/>
          <w:rFonts w:hint="eastAsia" w:ascii="仿宋" w:hAnsi="仿宋" w:eastAsia="仿宋"/>
          <w:b w:val="0"/>
          <w:bCs w:val="0"/>
        </w:rPr>
        <w:t>十一、</w:t>
      </w:r>
      <w:r>
        <w:rPr>
          <w:rFonts w:hint="eastAsia" w:ascii="仿宋" w:hAnsi="仿宋" w:eastAsia="仿宋"/>
          <w:b w:val="0"/>
        </w:rPr>
        <w:t>政</w:t>
      </w:r>
      <w:r>
        <w:rPr>
          <w:rStyle w:val="25"/>
          <w:rFonts w:hint="eastAsia" w:ascii="仿宋" w:hAnsi="仿宋" w:eastAsia="仿宋"/>
          <w:b w:val="0"/>
          <w:bCs w:val="0"/>
        </w:rPr>
        <w:t>府性基金预算财政拨款收入支出决算表</w:t>
      </w:r>
      <w:bookmarkEnd w:id="209"/>
      <w:bookmarkEnd w:id="210"/>
    </w:p>
    <w:p>
      <w:pPr>
        <w:pStyle w:val="4"/>
        <w:rPr>
          <w:rFonts w:ascii="仿宋" w:hAnsi="仿宋" w:eastAsia="仿宋"/>
        </w:rPr>
      </w:pPr>
      <w:bookmarkStart w:id="211" w:name="_Toc15396630"/>
      <w:bookmarkStart w:id="212" w:name="_Toc10752"/>
      <w:r>
        <w:rPr>
          <w:rStyle w:val="25"/>
          <w:rFonts w:hint="eastAsia" w:ascii="仿宋" w:hAnsi="仿宋" w:eastAsia="仿宋"/>
          <w:b w:val="0"/>
          <w:bCs w:val="0"/>
        </w:rPr>
        <w:t>十二、</w:t>
      </w:r>
      <w:r>
        <w:rPr>
          <w:rFonts w:hint="eastAsia" w:ascii="仿宋" w:hAnsi="仿宋" w:eastAsia="仿宋"/>
          <w:b w:val="0"/>
        </w:rPr>
        <w:t>政</w:t>
      </w:r>
      <w:r>
        <w:rPr>
          <w:rStyle w:val="25"/>
          <w:rFonts w:hint="eastAsia" w:ascii="仿宋" w:hAnsi="仿宋" w:eastAsia="仿宋"/>
          <w:b w:val="0"/>
          <w:bCs w:val="0"/>
        </w:rPr>
        <w:t>府性基金预算财政拨款“三公”经费支出决算表</w:t>
      </w:r>
      <w:bookmarkEnd w:id="211"/>
      <w:bookmarkEnd w:id="212"/>
    </w:p>
    <w:p>
      <w:pPr>
        <w:pStyle w:val="4"/>
        <w:rPr>
          <w:rStyle w:val="25"/>
          <w:rFonts w:ascii="仿宋" w:hAnsi="仿宋" w:eastAsia="仿宋"/>
          <w:b w:val="0"/>
          <w:bCs w:val="0"/>
        </w:rPr>
      </w:pPr>
      <w:bookmarkStart w:id="213" w:name="_Toc15396631"/>
      <w:bookmarkStart w:id="214" w:name="_Toc10882"/>
      <w:r>
        <w:rPr>
          <w:rStyle w:val="25"/>
          <w:rFonts w:hint="eastAsia" w:ascii="仿宋" w:hAnsi="仿宋" w:eastAsia="仿宋"/>
          <w:b w:val="0"/>
          <w:bCs w:val="0"/>
        </w:rPr>
        <w:t>十三、</w:t>
      </w:r>
      <w:r>
        <w:rPr>
          <w:rFonts w:hint="eastAsia" w:ascii="仿宋" w:hAnsi="仿宋" w:eastAsia="仿宋"/>
          <w:b w:val="0"/>
        </w:rPr>
        <w:t>国</w:t>
      </w:r>
      <w:r>
        <w:rPr>
          <w:rStyle w:val="25"/>
          <w:rFonts w:hint="eastAsia" w:ascii="仿宋" w:hAnsi="仿宋" w:eastAsia="仿宋"/>
          <w:b w:val="0"/>
          <w:bCs w:val="0"/>
        </w:rPr>
        <w:t>有资本经营预算财政拨款收入支出决算表</w:t>
      </w:r>
      <w:bookmarkEnd w:id="213"/>
      <w:bookmarkEnd w:id="214"/>
    </w:p>
    <w:p>
      <w:pPr>
        <w:outlineLvl w:val="1"/>
        <w:rPr>
          <w:rFonts w:eastAsia="仿宋"/>
        </w:rPr>
      </w:pPr>
      <w:bookmarkStart w:id="215" w:name="_Toc9002"/>
      <w:r>
        <w:rPr>
          <w:rStyle w:val="25"/>
          <w:rFonts w:hint="eastAsia" w:ascii="仿宋" w:hAnsi="仿宋" w:eastAsia="仿宋"/>
          <w:b w:val="0"/>
          <w:bCs w:val="0"/>
        </w:rPr>
        <w:t>十四、国有资本经营预算财政拨款支出决算表</w:t>
      </w:r>
      <w:bookmarkEnd w:id="215"/>
    </w:p>
    <w:p/>
    <w:sectPr>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4334642"/>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2"/>
                            <w:spacing w:before="7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74334642"/>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2"/>
                      <w:spacing w:before="72"/>
                    </w:pP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B2CCE"/>
    <w:multiLevelType w:val="singleLevel"/>
    <w:tmpl w:val="81CB2CCE"/>
    <w:lvl w:ilvl="0" w:tentative="0">
      <w:start w:val="5"/>
      <w:numFmt w:val="chineseCounting"/>
      <w:suff w:val="nothing"/>
      <w:lvlText w:val="%1、"/>
      <w:lvlJc w:val="left"/>
      <w:rPr>
        <w:rFonts w:hint="eastAsia"/>
      </w:rPr>
    </w:lvl>
  </w:abstractNum>
  <w:abstractNum w:abstractNumId="1">
    <w:nsid w:val="8BADB033"/>
    <w:multiLevelType w:val="singleLevel"/>
    <w:tmpl w:val="8BADB033"/>
    <w:lvl w:ilvl="0" w:tentative="0">
      <w:start w:val="2"/>
      <w:numFmt w:val="chineseCounting"/>
      <w:suff w:val="nothing"/>
      <w:lvlText w:val="（%1）"/>
      <w:lvlJc w:val="left"/>
      <w:rPr>
        <w:rFonts w:hint="eastAsia"/>
      </w:rPr>
    </w:lvl>
  </w:abstractNum>
  <w:abstractNum w:abstractNumId="2">
    <w:nsid w:val="C5A7D8BD"/>
    <w:multiLevelType w:val="singleLevel"/>
    <w:tmpl w:val="C5A7D8BD"/>
    <w:lvl w:ilvl="0" w:tentative="0">
      <w:start w:val="1"/>
      <w:numFmt w:val="decimal"/>
      <w:lvlText w:val="%1."/>
      <w:lvlJc w:val="left"/>
      <w:pPr>
        <w:tabs>
          <w:tab w:val="left" w:pos="312"/>
        </w:tabs>
      </w:pPr>
    </w:lvl>
  </w:abstractNum>
  <w:abstractNum w:abstractNumId="3">
    <w:nsid w:val="10617F67"/>
    <w:multiLevelType w:val="singleLevel"/>
    <w:tmpl w:val="10617F67"/>
    <w:lvl w:ilvl="0" w:tentative="0">
      <w:start w:val="2"/>
      <w:numFmt w:val="chineseCounting"/>
      <w:suff w:val="nothing"/>
      <w:lvlText w:val="（%1）"/>
      <w:lvlJc w:val="left"/>
      <w:rPr>
        <w:rFonts w:hint="eastAsia"/>
      </w:rPr>
    </w:lvl>
  </w:abstractNum>
  <w:abstractNum w:abstractNumId="4">
    <w:nsid w:val="3064A595"/>
    <w:multiLevelType w:val="singleLevel"/>
    <w:tmpl w:val="3064A595"/>
    <w:lvl w:ilvl="0" w:tentative="0">
      <w:start w:val="1"/>
      <w:numFmt w:val="chineseCounting"/>
      <w:suff w:val="nothing"/>
      <w:lvlText w:val="%1、"/>
      <w:lvlJc w:val="left"/>
      <w:rPr>
        <w:rFonts w:hint="eastAsia"/>
      </w:rPr>
    </w:lvl>
  </w:abstractNum>
  <w:abstractNum w:abstractNumId="5">
    <w:nsid w:val="68EA697A"/>
    <w:multiLevelType w:val="singleLevel"/>
    <w:tmpl w:val="68EA697A"/>
    <w:lvl w:ilvl="0" w:tentative="0">
      <w:start w:val="2"/>
      <w:numFmt w:val="chineseCounting"/>
      <w:suff w:val="nothing"/>
      <w:lvlText w:val="（%1）"/>
      <w:lvlJc w:val="left"/>
      <w:rPr>
        <w:rFonts w:hint="eastAsia"/>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41BD5"/>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05E9D"/>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D569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462E7"/>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D5549"/>
    <w:rsid w:val="00CE44F6"/>
    <w:rsid w:val="00CE49DA"/>
    <w:rsid w:val="00CE7B61"/>
    <w:rsid w:val="00D00095"/>
    <w:rsid w:val="00D114F0"/>
    <w:rsid w:val="00D20620"/>
    <w:rsid w:val="00D254F7"/>
    <w:rsid w:val="00D26091"/>
    <w:rsid w:val="00D2685C"/>
    <w:rsid w:val="00D34E7C"/>
    <w:rsid w:val="00D35489"/>
    <w:rsid w:val="00D36AFE"/>
    <w:rsid w:val="00D51276"/>
    <w:rsid w:val="00D552B9"/>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0A7A03"/>
    <w:rsid w:val="0272292B"/>
    <w:rsid w:val="03385CA7"/>
    <w:rsid w:val="05157E1C"/>
    <w:rsid w:val="05384E46"/>
    <w:rsid w:val="05D33C35"/>
    <w:rsid w:val="066E0107"/>
    <w:rsid w:val="06761080"/>
    <w:rsid w:val="069F1791"/>
    <w:rsid w:val="06C82DBD"/>
    <w:rsid w:val="0745705E"/>
    <w:rsid w:val="085B7238"/>
    <w:rsid w:val="0A0A7811"/>
    <w:rsid w:val="0A2032A3"/>
    <w:rsid w:val="0AB93CE8"/>
    <w:rsid w:val="0B9C70D5"/>
    <w:rsid w:val="0C763D77"/>
    <w:rsid w:val="0CD43E90"/>
    <w:rsid w:val="0E892318"/>
    <w:rsid w:val="0F741BDC"/>
    <w:rsid w:val="0FD30989"/>
    <w:rsid w:val="101860EC"/>
    <w:rsid w:val="10C055FF"/>
    <w:rsid w:val="10E3340A"/>
    <w:rsid w:val="116D1376"/>
    <w:rsid w:val="118107EC"/>
    <w:rsid w:val="12B940F6"/>
    <w:rsid w:val="12CC3B49"/>
    <w:rsid w:val="13AD31C4"/>
    <w:rsid w:val="13C640FB"/>
    <w:rsid w:val="168B688C"/>
    <w:rsid w:val="16BB723D"/>
    <w:rsid w:val="17033ADE"/>
    <w:rsid w:val="17760E9D"/>
    <w:rsid w:val="180524DF"/>
    <w:rsid w:val="19257CCD"/>
    <w:rsid w:val="195839AD"/>
    <w:rsid w:val="196F0705"/>
    <w:rsid w:val="1A2866EE"/>
    <w:rsid w:val="1BE8440E"/>
    <w:rsid w:val="1CED21A6"/>
    <w:rsid w:val="1CEE3947"/>
    <w:rsid w:val="1D155CEE"/>
    <w:rsid w:val="1DA770B4"/>
    <w:rsid w:val="1F771C09"/>
    <w:rsid w:val="20B12763"/>
    <w:rsid w:val="21EA5031"/>
    <w:rsid w:val="23860B96"/>
    <w:rsid w:val="23EE2CBC"/>
    <w:rsid w:val="240371BF"/>
    <w:rsid w:val="24643F00"/>
    <w:rsid w:val="24BD3CCA"/>
    <w:rsid w:val="251F517E"/>
    <w:rsid w:val="253E44CF"/>
    <w:rsid w:val="2548590C"/>
    <w:rsid w:val="256A2E4A"/>
    <w:rsid w:val="28125E53"/>
    <w:rsid w:val="28613749"/>
    <w:rsid w:val="293F70AC"/>
    <w:rsid w:val="29FD04D3"/>
    <w:rsid w:val="2BFA6AF9"/>
    <w:rsid w:val="2C8A61B5"/>
    <w:rsid w:val="2DF04E50"/>
    <w:rsid w:val="2F724C16"/>
    <w:rsid w:val="30075CEC"/>
    <w:rsid w:val="30076B45"/>
    <w:rsid w:val="30D33F9B"/>
    <w:rsid w:val="30DF69CE"/>
    <w:rsid w:val="319F7F4E"/>
    <w:rsid w:val="33C55FEA"/>
    <w:rsid w:val="340D678F"/>
    <w:rsid w:val="357A7089"/>
    <w:rsid w:val="36AA5135"/>
    <w:rsid w:val="36BC4CE2"/>
    <w:rsid w:val="36E30979"/>
    <w:rsid w:val="36ED6F83"/>
    <w:rsid w:val="37494478"/>
    <w:rsid w:val="374D5EC4"/>
    <w:rsid w:val="37DE6771"/>
    <w:rsid w:val="384E41EF"/>
    <w:rsid w:val="38D37F01"/>
    <w:rsid w:val="3D98207C"/>
    <w:rsid w:val="3EC573E3"/>
    <w:rsid w:val="3EE151E0"/>
    <w:rsid w:val="3FED1EE0"/>
    <w:rsid w:val="41133E4A"/>
    <w:rsid w:val="42146EBA"/>
    <w:rsid w:val="42923BC4"/>
    <w:rsid w:val="42DD1FC9"/>
    <w:rsid w:val="446D1D7C"/>
    <w:rsid w:val="483617E3"/>
    <w:rsid w:val="49150124"/>
    <w:rsid w:val="49165E7E"/>
    <w:rsid w:val="49BF3E49"/>
    <w:rsid w:val="49FB3126"/>
    <w:rsid w:val="4AA43794"/>
    <w:rsid w:val="4B1F35A6"/>
    <w:rsid w:val="4B4F25DA"/>
    <w:rsid w:val="4BE068DB"/>
    <w:rsid w:val="4D3C3F63"/>
    <w:rsid w:val="4D577224"/>
    <w:rsid w:val="4DA27253"/>
    <w:rsid w:val="4DD47B70"/>
    <w:rsid w:val="4EAB630A"/>
    <w:rsid w:val="4ECE2238"/>
    <w:rsid w:val="504F0A6A"/>
    <w:rsid w:val="52293FDE"/>
    <w:rsid w:val="52B95C0E"/>
    <w:rsid w:val="532B1382"/>
    <w:rsid w:val="54795107"/>
    <w:rsid w:val="54AB1A38"/>
    <w:rsid w:val="54B36FDA"/>
    <w:rsid w:val="55592CAE"/>
    <w:rsid w:val="566D6412"/>
    <w:rsid w:val="56A047F2"/>
    <w:rsid w:val="57B953FF"/>
    <w:rsid w:val="58741433"/>
    <w:rsid w:val="58B35441"/>
    <w:rsid w:val="59586A4B"/>
    <w:rsid w:val="59E923CD"/>
    <w:rsid w:val="5A001584"/>
    <w:rsid w:val="5BD97E35"/>
    <w:rsid w:val="5C080319"/>
    <w:rsid w:val="5CD6683C"/>
    <w:rsid w:val="5CD71FC4"/>
    <w:rsid w:val="5D2D1115"/>
    <w:rsid w:val="5D96416E"/>
    <w:rsid w:val="5EB0220A"/>
    <w:rsid w:val="5F8519A2"/>
    <w:rsid w:val="613A3B45"/>
    <w:rsid w:val="631A714B"/>
    <w:rsid w:val="64077486"/>
    <w:rsid w:val="640A4EED"/>
    <w:rsid w:val="644C18B0"/>
    <w:rsid w:val="688E7CF5"/>
    <w:rsid w:val="68A03CF9"/>
    <w:rsid w:val="68B707EA"/>
    <w:rsid w:val="68D05413"/>
    <w:rsid w:val="6A696639"/>
    <w:rsid w:val="6AD0447C"/>
    <w:rsid w:val="6B0A30FF"/>
    <w:rsid w:val="6C26731F"/>
    <w:rsid w:val="6C4A05C8"/>
    <w:rsid w:val="6CE65C3A"/>
    <w:rsid w:val="6D1E17E1"/>
    <w:rsid w:val="6D2846C7"/>
    <w:rsid w:val="6DCF4E9E"/>
    <w:rsid w:val="6E5824A0"/>
    <w:rsid w:val="6E7E3605"/>
    <w:rsid w:val="6F4B5FE3"/>
    <w:rsid w:val="6F773FD2"/>
    <w:rsid w:val="70C65BA1"/>
    <w:rsid w:val="715C0E4B"/>
    <w:rsid w:val="71A01E86"/>
    <w:rsid w:val="724D76CD"/>
    <w:rsid w:val="72734D90"/>
    <w:rsid w:val="72793C62"/>
    <w:rsid w:val="741F42EB"/>
    <w:rsid w:val="77216DA3"/>
    <w:rsid w:val="77831D19"/>
    <w:rsid w:val="779D57B0"/>
    <w:rsid w:val="785B6AB7"/>
    <w:rsid w:val="79BE7E29"/>
    <w:rsid w:val="7A901AA6"/>
    <w:rsid w:val="7CA03BB8"/>
    <w:rsid w:val="7DB14A77"/>
    <w:rsid w:val="7ED57A95"/>
    <w:rsid w:val="7FA30C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字符"/>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字符"/>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字符"/>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字符"/>
    <w:basedOn w:val="13"/>
    <w:link w:val="3"/>
    <w:qFormat/>
    <w:uiPriority w:val="9"/>
    <w:rPr>
      <w:rFonts w:ascii="Times New Roman" w:hAnsi="Times New Roman"/>
      <w:b/>
      <w:bCs/>
      <w:kern w:val="44"/>
      <w:sz w:val="44"/>
      <w:szCs w:val="44"/>
    </w:rPr>
  </w:style>
  <w:style w:type="character" w:customStyle="1" w:styleId="25">
    <w:name w:val="标题 2 字符"/>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字符"/>
    <w:basedOn w:val="13"/>
    <w:link w:val="7"/>
    <w:semiHidden/>
    <w:qFormat/>
    <w:uiPriority w:val="99"/>
    <w:rPr>
      <w:rFonts w:ascii="Times New Roman" w:hAnsi="Times New Roman"/>
      <w:kern w:val="2"/>
      <w:sz w:val="18"/>
      <w:szCs w:val="18"/>
    </w:rPr>
  </w:style>
  <w:style w:type="character" w:customStyle="1" w:styleId="28">
    <w:name w:val="标题 3 字符"/>
    <w:basedOn w:val="13"/>
    <w:link w:val="5"/>
    <w:qFormat/>
    <w:uiPriority w:val="9"/>
    <w:rPr>
      <w:rFonts w:ascii="Times New Roman" w:hAnsi="Times New Roman"/>
      <w:b/>
      <w:bCs/>
      <w:kern w:val="2"/>
      <w:sz w:val="32"/>
      <w:szCs w:val="32"/>
    </w:rPr>
  </w:style>
  <w:style w:type="paragraph" w:customStyle="1" w:styleId="29">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7.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26700;&#38754;&#25991;&#20214;\&#24037;&#20316;&#31807;1.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E:\&#26700;&#38754;&#25991;&#20214;\&#24037;&#20316;&#31807;1.xlsx" TargetMode="External"/></Relationships>
</file>

<file path=word/charts/_rels/chart3.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1.xml"/><Relationship Id="rId1" Type="http://schemas.openxmlformats.org/officeDocument/2006/relationships/oleObject" Target="file:///E:\&#26700;&#38754;&#25991;&#20214;\&#24037;&#20316;&#31807;1.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E:\&#26700;&#38754;&#25991;&#20214;\&#24037;&#20316;&#31807;1.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E:\&#26700;&#38754;&#25991;&#20214;\&#24037;&#20316;&#31807;1.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E:\&#26700;&#38754;&#25991;&#20214;\&#24037;&#20316;&#31807;1.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6700;&#38754;&#25991;&#20214;\&#24037;&#20316;&#318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收、支决算总计变动情况 </a:t>
            </a:r>
            <a:r>
              <a:rPr lang="zh-CN" altLang="en-US" sz="1000"/>
              <a:t>单位：万元</a:t>
            </a:r>
            <a:endParaRPr lang="zh-CN" altLang="en-US" sz="1000"/>
          </a:p>
        </c:rich>
      </c:tx>
      <c:layout>
        <c:manualLayout>
          <c:xMode val="edge"/>
          <c:yMode val="edge"/>
          <c:x val="0.256597222222222"/>
          <c:y val="0.0208333333333333"/>
        </c:manualLayout>
      </c:layout>
      <c:overlay val="0"/>
      <c:spPr>
        <a:noFill/>
        <a:ln>
          <a:noFill/>
        </a:ln>
        <a:effectLst/>
      </c:spPr>
    </c:title>
    <c:autoTitleDeleted val="0"/>
    <c:plotArea>
      <c:layout>
        <c:manualLayout>
          <c:layoutTarget val="inner"/>
          <c:xMode val="edge"/>
          <c:yMode val="edge"/>
          <c:x val="0.0950336962156558"/>
          <c:y val="0.166666666666667"/>
          <c:w val="0.883711767755314"/>
          <c:h val="0.695987654320988"/>
        </c:manualLayout>
      </c:layout>
      <c:barChart>
        <c:barDir val="col"/>
        <c:grouping val="clustered"/>
        <c:varyColors val="0"/>
        <c:ser>
          <c:idx val="0"/>
          <c:order val="0"/>
          <c:tx>
            <c:strRef>
              <c:f>[工作簿1.xlsx]Sheet1!$A$2</c:f>
              <c:strCache>
                <c:ptCount val="1"/>
                <c:pt idx="0">
                  <c:v>收入、支出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[工作簿1.xlsx]Sheet1!$B$1:$D$1</c:f>
              <c:strCache>
                <c:ptCount val="3"/>
                <c:pt idx="0">
                  <c:v>2019年</c:v>
                </c:pt>
                <c:pt idx="1">
                  <c:v>2020年</c:v>
                </c:pt>
                <c:pt idx="2">
                  <c:v>增减数</c:v>
                </c:pt>
              </c:strCache>
            </c:strRef>
          </c:cat>
          <c:val>
            <c:numRef>
              <c:f>[工作簿1.xlsx]Sheet1!$B$2:$D$2</c:f>
              <c:numCache>
                <c:formatCode>#,##0.00</c:formatCode>
                <c:ptCount val="3"/>
                <c:pt idx="0">
                  <c:v>5398.78</c:v>
                </c:pt>
                <c:pt idx="1">
                  <c:v>5663.28</c:v>
                </c:pt>
                <c:pt idx="2" c:formatCode="General">
                  <c:v>264.5</c:v>
                </c:pt>
              </c:numCache>
            </c:numRef>
          </c:val>
        </c:ser>
        <c:dLbls>
          <c:showLegendKey val="0"/>
          <c:showVal val="1"/>
          <c:showCatName val="0"/>
          <c:showSerName val="0"/>
          <c:showPercent val="0"/>
          <c:showBubbleSize val="0"/>
        </c:dLbls>
        <c:gapWidth val="219"/>
        <c:overlap val="-27"/>
        <c:axId val="859084379"/>
        <c:axId val="565966445"/>
      </c:barChart>
      <c:catAx>
        <c:axId val="859084379"/>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65966445"/>
        <c:crosses val="autoZero"/>
        <c:auto val="1"/>
        <c:lblAlgn val="ctr"/>
        <c:lblOffset val="100"/>
        <c:noMultiLvlLbl val="0"/>
      </c:catAx>
      <c:valAx>
        <c:axId val="56596644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908437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[工作簿1.xlsx]Sheet1!$G$25</c:f>
              <c:strCache>
                <c:ptCount val="1"/>
                <c:pt idx="0">
                  <c:v>占比</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Pt>
            <c:idx val="6"/>
            <c:bubble3D val="0"/>
            <c:spPr>
              <a:solidFill>
                <a:schemeClr val="accent1">
                  <a:lumMod val="60000"/>
                </a:schemeClr>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[工作簿1.xlsx]Sheet1!$F$26:$F$32</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[工作簿1.xlsx]Sheet1!$G$26:$G$32</c:f>
              <c:numCache>
                <c:formatCode>0.00%</c:formatCode>
                <c:ptCount val="7"/>
                <c:pt idx="0">
                  <c:v>0.743246680677876</c:v>
                </c:pt>
                <c:pt idx="1" c:formatCode="General">
                  <c:v>0</c:v>
                </c:pt>
                <c:pt idx="2" c:formatCode="General">
                  <c:v>0</c:v>
                </c:pt>
                <c:pt idx="3">
                  <c:v>0.0867986055511076</c:v>
                </c:pt>
                <c:pt idx="4" c:formatCode="0%">
                  <c:v>0</c:v>
                </c:pt>
                <c:pt idx="5" c:formatCode="0%">
                  <c:v>0</c:v>
                </c:pt>
                <c:pt idx="6">
                  <c:v>0.169954713771017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支出决算结构图</a:t>
            </a:r>
            <a:endParaRPr lang="zh-CN" altLang="en-US"/>
          </a:p>
        </c:rich>
      </c:tx>
      <c:layout/>
      <c:overlay val="0"/>
      <c:spPr>
        <a:noFill/>
        <a:ln>
          <a:noFill/>
        </a:ln>
        <a:effectLst/>
      </c:spPr>
    </c:title>
    <c:autoTitleDeleted val="0"/>
    <c:plotArea>
      <c:layout/>
      <c:pieChart>
        <c:varyColors val="1"/>
        <c:ser>
          <c:idx val="0"/>
          <c:order val="0"/>
          <c:tx>
            <c:strRef>
              <c:f>[工作簿1.xlsx]Sheet1!$F$37</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[工作簿1.xlsx]Sheet1!$E$38:$E$42</c:f>
              <c:strCache>
                <c:ptCount val="5"/>
                <c:pt idx="0">
                  <c:v>基本支出</c:v>
                </c:pt>
                <c:pt idx="1">
                  <c:v>项目支出</c:v>
                </c:pt>
                <c:pt idx="2">
                  <c:v>上缴上级支出</c:v>
                </c:pt>
                <c:pt idx="3">
                  <c:v>经营支出</c:v>
                </c:pt>
                <c:pt idx="4">
                  <c:v>对附属单位补助支出</c:v>
                </c:pt>
              </c:strCache>
            </c:strRef>
          </c:cat>
          <c:val>
            <c:numRef>
              <c:f>[工作簿1.xlsx]Sheet1!$F$38:$F$42</c:f>
              <c:numCache>
                <c:formatCode>0.00%</c:formatCode>
                <c:ptCount val="5"/>
                <c:pt idx="0">
                  <c:v>0.657087547936957</c:v>
                </c:pt>
                <c:pt idx="1">
                  <c:v>0.342912452063043</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财政拨款收、支决算总计变动情况</a:t>
            </a:r>
            <a:endParaRPr lang="zh-CN" altLang="en-US"/>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[工作簿1.xlsx]Sheet1!$D$119:$F$119</c:f>
              <c:strCache>
                <c:ptCount val="3"/>
                <c:pt idx="0">
                  <c:v>2020年</c:v>
                </c:pt>
                <c:pt idx="1">
                  <c:v>2019年</c:v>
                </c:pt>
                <c:pt idx="2">
                  <c:v>增减值</c:v>
                </c:pt>
              </c:strCache>
            </c:strRef>
          </c:cat>
          <c:val>
            <c:numRef>
              <c:f>[工作簿1.xlsx]Sheet1!$D$120:$F$120</c:f>
              <c:numCache>
                <c:formatCode>General</c:formatCode>
                <c:ptCount val="3"/>
                <c:pt idx="0">
                  <c:v>3564.73</c:v>
                </c:pt>
                <c:pt idx="1">
                  <c:v>3397.19</c:v>
                </c:pt>
                <c:pt idx="2">
                  <c:v>167.54</c:v>
                </c:pt>
              </c:numCache>
            </c:numRef>
          </c:val>
        </c:ser>
        <c:dLbls>
          <c:showLegendKey val="0"/>
          <c:showVal val="1"/>
          <c:showCatName val="0"/>
          <c:showSerName val="0"/>
          <c:showPercent val="0"/>
          <c:showBubbleSize val="0"/>
        </c:dLbls>
        <c:gapWidth val="219"/>
        <c:overlap val="-27"/>
        <c:axId val="593800358"/>
        <c:axId val="589350290"/>
      </c:barChart>
      <c:catAx>
        <c:axId val="59380035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9350290"/>
        <c:crosses val="autoZero"/>
        <c:auto val="1"/>
        <c:lblAlgn val="ctr"/>
        <c:lblOffset val="100"/>
        <c:noMultiLvlLbl val="0"/>
      </c:catAx>
      <c:valAx>
        <c:axId val="58935029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80035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[工作簿1.xlsx]Sheet1!$B$113</c:f>
              <c:strCache>
                <c:ptCount val="1"/>
                <c:pt idx="0">
                  <c:v>一般公共预算财政拨款支出决算</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[工作簿1.xlsx]Sheet1!$C$112:$E$112</c:f>
              <c:strCache>
                <c:ptCount val="3"/>
                <c:pt idx="0">
                  <c:v>2020年</c:v>
                </c:pt>
                <c:pt idx="1">
                  <c:v>2019年</c:v>
                </c:pt>
                <c:pt idx="2">
                  <c:v>增减值</c:v>
                </c:pt>
              </c:strCache>
            </c:strRef>
          </c:cat>
          <c:val>
            <c:numRef>
              <c:f>[工作簿1.xlsx]Sheet1!$C$113:$E$113</c:f>
              <c:numCache>
                <c:formatCode>#,##0.00</c:formatCode>
                <c:ptCount val="3"/>
                <c:pt idx="0">
                  <c:v>3564.73</c:v>
                </c:pt>
                <c:pt idx="1" c:formatCode="General">
                  <c:v>3397.19</c:v>
                </c:pt>
                <c:pt idx="2" c:formatCode="General">
                  <c:v>167.54</c:v>
                </c:pt>
              </c:numCache>
            </c:numRef>
          </c:val>
        </c:ser>
        <c:dLbls>
          <c:showLegendKey val="0"/>
          <c:showVal val="1"/>
          <c:showCatName val="0"/>
          <c:showSerName val="0"/>
          <c:showPercent val="0"/>
          <c:showBubbleSize val="0"/>
        </c:dLbls>
        <c:gapWidth val="219"/>
        <c:overlap val="-27"/>
        <c:axId val="217173523"/>
        <c:axId val="367773454"/>
      </c:barChart>
      <c:catAx>
        <c:axId val="21717352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7773454"/>
        <c:crosses val="autoZero"/>
        <c:auto val="1"/>
        <c:lblAlgn val="ctr"/>
        <c:lblOffset val="100"/>
        <c:noMultiLvlLbl val="0"/>
      </c:catAx>
      <c:valAx>
        <c:axId val="36777345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71735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一般公共预算财政拨款支出决算结构 </a:t>
            </a:r>
            <a:endParaRPr lang="zh-CN" altLang="en-US"/>
          </a:p>
        </c:rich>
      </c:tx>
      <c:layout>
        <c:manualLayout>
          <c:xMode val="edge"/>
          <c:yMode val="edge"/>
          <c:x val="0.358055555555556"/>
          <c:y val="0.0520833333333333"/>
        </c:manualLayout>
      </c:layout>
      <c:overlay val="0"/>
      <c:spPr>
        <a:noFill/>
        <a:ln>
          <a:noFill/>
        </a:ln>
        <a:effectLst/>
      </c:spPr>
    </c:title>
    <c:autoTitleDeleted val="0"/>
    <c:plotArea>
      <c:layout/>
      <c:pieChart>
        <c:varyColors val="1"/>
        <c:ser>
          <c:idx val="0"/>
          <c:order val="0"/>
          <c:tx>
            <c:strRef>
              <c:f>[工作簿1.xlsx]Sheet1!$B$75</c:f>
              <c:strCache>
                <c:ptCount val="1"/>
                <c:pt idx="0">
                  <c:v>比例</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[工作簿1.xlsx]Sheet1!$A$76:$A$82</c:f>
              <c:strCache>
                <c:ptCount val="7"/>
                <c:pt idx="0">
                  <c:v>一般公共服务（类）支出</c:v>
                </c:pt>
                <c:pt idx="1">
                  <c:v>教育支出（类）</c:v>
                </c:pt>
                <c:pt idx="2">
                  <c:v>科学技术（类）</c:v>
                </c:pt>
                <c:pt idx="3">
                  <c:v>文化旅游体育与传媒（类）支出</c:v>
                </c:pt>
                <c:pt idx="4">
                  <c:v>社会保障和就业（类）支出</c:v>
                </c:pt>
                <c:pt idx="5">
                  <c:v>卫生健康支出</c:v>
                </c:pt>
                <c:pt idx="6">
                  <c:v>住房保障支出</c:v>
                </c:pt>
              </c:strCache>
            </c:strRef>
          </c:cat>
          <c:val>
            <c:numRef>
              <c:f>[工作簿1.xlsx]Sheet1!$B$76:$B$82</c:f>
              <c:numCache>
                <c:formatCode>0.00%</c:formatCode>
                <c:ptCount val="7"/>
                <c:pt idx="0">
                  <c:v>0.0341119804304954</c:v>
                </c:pt>
                <c:pt idx="1">
                  <c:v>0.733724573810639</c:v>
                </c:pt>
                <c:pt idx="2">
                  <c:v>0.00327374022717008</c:v>
                </c:pt>
                <c:pt idx="3">
                  <c:v>0</c:v>
                </c:pt>
                <c:pt idx="4">
                  <c:v>0.145520137570026</c:v>
                </c:pt>
                <c:pt idx="5">
                  <c:v>0.0469011678303827</c:v>
                </c:pt>
                <c:pt idx="6">
                  <c:v>0.0364684001312862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“三公”经费财政拨款支出结构</a:t>
            </a:r>
            <a:endParaRPr lang="zh-CN" altLang="en-US"/>
          </a:p>
        </c:rich>
      </c:tx>
      <c:layout>
        <c:manualLayout>
          <c:xMode val="edge"/>
          <c:yMode val="edge"/>
          <c:x val="0.221624918140144"/>
          <c:y val="0.0360082304526749"/>
        </c:manualLayout>
      </c:layout>
      <c:overlay val="0"/>
      <c:spPr>
        <a:noFill/>
        <a:ln>
          <a:noFill/>
        </a:ln>
        <a:effectLst/>
      </c:spPr>
    </c:title>
    <c:autoTitleDeleted val="0"/>
    <c:plotArea>
      <c:layout/>
      <c:pieChart>
        <c:varyColors val="1"/>
        <c:ser>
          <c:idx val="0"/>
          <c:order val="0"/>
          <c:tx>
            <c:strRef>
              <c:f>[工作簿1.xlsx]Sheet1!$F$89</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[工作簿1.xlsx]Sheet1!$E$90:$E$92</c:f>
              <c:strCache>
                <c:ptCount val="3"/>
                <c:pt idx="0">
                  <c:v>因公出国（境）费支出</c:v>
                </c:pt>
                <c:pt idx="1">
                  <c:v>公务用车购置及运行维护费支出</c:v>
                </c:pt>
                <c:pt idx="2">
                  <c:v>公务接待费支出</c:v>
                </c:pt>
              </c:strCache>
            </c:strRef>
          </c:cat>
          <c:val>
            <c:numRef>
              <c:f>[工作簿1.xlsx]Sheet1!$F$90:$F$92</c:f>
              <c:numCache>
                <c:formatCode>General</c:formatCode>
                <c:ptCount val="3"/>
                <c:pt idx="0">
                  <c:v>0</c:v>
                </c:pt>
                <c:pt idx="1" c:formatCode="0.00%">
                  <c:v>0.984455958549223</c:v>
                </c:pt>
                <c:pt idx="2" c:formatCode="0.00%">
                  <c:v>0.0155440414507772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CC7602-F64C-4C8E-92A1-821E23A4E59B}">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49</Pages>
  <Words>3376</Words>
  <Characters>19248</Characters>
  <Lines>160</Lines>
  <Paragraphs>45</Paragraphs>
  <TotalTime>6</TotalTime>
  <ScaleCrop>false</ScaleCrop>
  <LinksUpToDate>false</LinksUpToDate>
  <CharactersWithSpaces>22579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2021-08-27T05:31:00Z</dcterms:created>
  <dc:creator>曹颖</dc:creator>
  <cp:lastModifiedBy>DELL</cp:lastModifiedBy>
  <cp:lastPrinted>2021-08-17T08:05:00Z</cp:lastPrinted>
  <dcterms:modified xsi:type="dcterms:W3CDTF">2021-08-30T01:16:28Z</dcterms:modified>
  <dc:title>四川省***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DDE676BF5C07448082A7A2882C6C6F96</vt:lpwstr>
  </property>
</Properties>
</file>